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37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37413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Goin Kathleen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40"/>
        <w:spacing w:after="0" w:line="383" w:lineRule="auto"/>
        <w:rPr>
          <w:sz w:val="20"/>
          <w:szCs w:val="20"/>
          <w:color w:val="auto"/>
        </w:rPr>
      </w:pPr>
      <w:r>
        <w:rPr>
          <w:rFonts w:ascii="Times New Roman" w:cs="Times New Roman" w:eastAsia="Times New Roman" w:hAnsi="Times New Roman"/>
          <w:sz w:val="16"/>
          <w:szCs w:val="16"/>
          <w:color w:val="0000FF"/>
        </w:rPr>
        <w:t>C/O PALVELLA THERAPEUTICS, INC. 353 W. LANCASTER AVENUE, SUITE 200</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WAYNE</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PA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19087</w:t>
            </w:r>
          </w:p>
        </w:tc>
      </w:tr>
      <w:tr>
        <w:trPr>
          <w:trHeight w:val="151"/>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PALVELLA THERAPEUTICS, INC. </w:t>
              </w:r>
            </w:hyperlink>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1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PVLA </w:t>
            </w:r>
            <w:r>
              <w:rPr>
                <w:rFonts w:ascii="Times New Roman" w:cs="Times New Roman" w:eastAsia="Times New Roman" w:hAnsi="Times New Roman"/>
                <w:sz w:val="20"/>
                <w:szCs w:val="20"/>
                <w:color w:val="000000"/>
              </w:rPr>
              <w:t>]</w:t>
            </w:r>
          </w:p>
        </w:tc>
        <w:tc>
          <w:tcPr>
            <w:tcW w:w="6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31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0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3100" w:type="dxa"/>
            <w:vAlign w:val="bottom"/>
            <w:gridSpan w:val="2"/>
          </w:tcPr>
          <w:p>
            <w:pPr>
              <w:ind w:left="660"/>
              <w:spacing w:after="0" w:line="182" w:lineRule="exact"/>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8"/>
        </w:trPr>
        <w:tc>
          <w:tcPr>
            <w:tcW w:w="3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0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4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gridSpan w:val="2"/>
          </w:tcPr>
          <w:p>
            <w:pPr>
              <w:jc w:val="center"/>
              <w:ind w:left="2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4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29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2,154</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7.14</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ind w:left="75"/>
              <w:spacing w:after="0"/>
              <w:rPr>
                <w:sz w:val="20"/>
                <w:szCs w:val="20"/>
                <w:color w:val="auto"/>
              </w:rPr>
            </w:pPr>
            <w:r>
              <w:rPr>
                <w:rFonts w:ascii="Times New Roman" w:cs="Times New Roman" w:eastAsia="Times New Roman" w:hAnsi="Times New Roman"/>
                <w:sz w:val="17"/>
                <w:szCs w:val="17"/>
                <w:color w:val="0000FF"/>
                <w:w w:val="99"/>
              </w:rPr>
              <w:t>2,154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29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2,148</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9.08</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ind w:left="75"/>
              <w:spacing w:after="0"/>
              <w:rPr>
                <w:sz w:val="20"/>
                <w:szCs w:val="20"/>
                <w:color w:val="auto"/>
              </w:rPr>
            </w:pPr>
            <w:r>
              <w:rPr>
                <w:rFonts w:ascii="Times New Roman" w:cs="Times New Roman" w:eastAsia="Times New Roman" w:hAnsi="Times New Roman"/>
                <w:sz w:val="17"/>
                <w:szCs w:val="17"/>
                <w:color w:val="0000FF"/>
                <w:w w:val="99"/>
              </w:rPr>
              <w:t>4,302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29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3,363</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110.3464</w:t>
            </w:r>
            <w:r>
              <w:rPr>
                <w:rFonts w:ascii="Times New Roman" w:cs="Times New Roman" w:eastAsia="Times New Roman" w:hAnsi="Times New Roman"/>
                <w:sz w:val="21"/>
                <w:szCs w:val="21"/>
                <w:color w:val="008000"/>
                <w:w w:val="93"/>
                <w:vertAlign w:val="superscript"/>
              </w:rPr>
              <w:t>(2)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7"/>
                <w:szCs w:val="17"/>
                <w:color w:val="0000FF"/>
              </w:rPr>
              <w:t>939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29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891</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111.2963</w:t>
            </w:r>
            <w:r>
              <w:rPr>
                <w:rFonts w:ascii="Times New Roman" w:cs="Times New Roman" w:eastAsia="Times New Roman" w:hAnsi="Times New Roman"/>
                <w:sz w:val="21"/>
                <w:szCs w:val="21"/>
                <w:color w:val="008000"/>
                <w:w w:val="93"/>
                <w:vertAlign w:val="superscript"/>
              </w:rPr>
              <w:t>(3)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7"/>
                <w:szCs w:val="17"/>
                <w:color w:val="0000FF"/>
              </w:rPr>
              <w:t>48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29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48</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3"/>
          </w:tcPr>
          <w:p>
            <w:pPr>
              <w:jc w:val="center"/>
              <w:ind w:left="62"/>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111.895</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7"/>
                <w:szCs w:val="17"/>
                <w:color w:val="0000FF"/>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Derivative</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7.14</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16"/>
                <w:szCs w:val="16"/>
                <w:color w:val="auto"/>
              </w:rPr>
            </w:pPr>
          </w:p>
        </w:tc>
        <w:tc>
          <w:tcPr>
            <w:tcW w:w="40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2,154</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10/29/2029</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2,154</w:t>
            </w:r>
          </w:p>
        </w:tc>
        <w:tc>
          <w:tcPr>
            <w:tcW w:w="40" w:type="dxa"/>
            <w:vAlign w:val="bottom"/>
          </w:tcPr>
          <w:p>
            <w:pPr>
              <w:spacing w:after="0"/>
              <w:rPr>
                <w:sz w:val="16"/>
                <w:szCs w:val="16"/>
                <w:color w:val="auto"/>
              </w:rPr>
            </w:pPr>
          </w:p>
        </w:tc>
        <w:tc>
          <w:tcPr>
            <w:tcW w:w="6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10,781</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9.08</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16"/>
                <w:szCs w:val="16"/>
                <w:color w:val="auto"/>
              </w:rPr>
            </w:pPr>
          </w:p>
        </w:tc>
        <w:tc>
          <w:tcPr>
            <w:tcW w:w="40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2,148</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10/14/2030</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2,148</w:t>
            </w:r>
          </w:p>
        </w:tc>
        <w:tc>
          <w:tcPr>
            <w:tcW w:w="40" w:type="dxa"/>
            <w:vAlign w:val="bottom"/>
          </w:tcPr>
          <w:p>
            <w:pPr>
              <w:spacing w:after="0"/>
              <w:rPr>
                <w:sz w:val="16"/>
                <w:szCs w:val="16"/>
                <w:color w:val="auto"/>
              </w:rPr>
            </w:pPr>
          </w:p>
        </w:tc>
        <w:tc>
          <w:tcPr>
            <w:tcW w:w="6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10,740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August 19, 2025. The plan was adopted during an open trading window, at a time when the Reporting Person was not in possession of material non-public information and was reviewed and approved in accordance with the Issuer's Insider Trading Policy. The Issuer's officers and directors from time to time utilize trading plans to transact in its securities for reasons such as satisfying vesting-related income tax requirements, investment diversification, or other personal reasons.</w:t>
      </w:r>
    </w:p>
    <w:p>
      <w:pPr>
        <w:spacing w:after="0" w:line="26"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$109.87 to $110.82,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26"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$110.89 to $111.83,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Kathleen A. McGowan,</w:t>
            </w:r>
          </w:p>
        </w:tc>
        <w:tc>
          <w:tcPr>
            <w:tcW w:w="2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12570" TargetMode="External"/><Relationship Id="rId14" Type="http://schemas.openxmlformats.org/officeDocument/2006/relationships/hyperlink" Target="http://www.sec.gov/cgi-bin/browse-edgar?action=getcompany&amp;CIK=00015836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2026-05-22T15:09:59Z</dcterms:created>
  <dcterms:modified xsi:type="dcterms:W3CDTF">2026-05-22T15:09:59Z</dcterms:modified>
</cp:coreProperties>
</file>