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KIRITSY CHRISTOPHER P</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21" w:lineRule="auto"/>
        <w:rPr>
          <w:sz w:val="20"/>
          <w:szCs w:val="20"/>
          <w:color w:val="auto"/>
        </w:rPr>
      </w:pPr>
      <w:r>
        <w:rPr>
          <w:rFonts w:ascii="Times New Roman" w:cs="Times New Roman" w:eastAsia="Times New Roman" w:hAnsi="Times New Roman"/>
          <w:sz w:val="16"/>
          <w:szCs w:val="16"/>
          <w:color w:val="0000FF"/>
        </w:rPr>
        <w:t>C/O PALVELLA THERAPEUTICS, INC. 353 W. LANCASTER AVENUE,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line="238"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PALVELLA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 xml:space="preserve">PVLA </w:t>
      </w:r>
      <w:r>
        <w:rPr>
          <w:rFonts w:ascii="Times New Roman" w:cs="Times New Roman" w:eastAsia="Times New Roman" w:hAnsi="Times New Roman"/>
          <w:sz w:val="20"/>
          <w:szCs w:val="20"/>
          <w:color w:val="000000"/>
        </w:rPr>
        <w:t>]</w:t>
      </w:r>
    </w:p>
    <w:p>
      <w:pPr>
        <w:spacing w:after="0" w:line="2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4" w:lineRule="exact"/>
        <w:rPr>
          <w:sz w:val="24"/>
          <w:szCs w:val="24"/>
          <w:color w:val="auto"/>
        </w:rPr>
      </w:pPr>
    </w:p>
    <w:p>
      <w:pPr>
        <w:sectPr>
          <w:pgSz w:w="11900" w:h="16838" w:orient="portrait"/>
          <w:cols w:equalWidth="0" w:num="3">
            <w:col w:w="3220" w:space="700"/>
            <w:col w:w="3240" w:space="583"/>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660" w:type="dxa"/>
            <w:vAlign w:val="bottom"/>
            <w:gridSpan w:val="8"/>
          </w:tcPr>
          <w:p>
            <w:pPr>
              <w:jc w:val="center"/>
              <w:ind w:right="1"/>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4"/>
              </w:rPr>
              <w:t>WAYNE</w:t>
            </w:r>
          </w:p>
        </w:tc>
        <w:tc>
          <w:tcPr>
            <w:tcW w:w="82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w w:val="91"/>
              </w:rPr>
              <w:t>PA</w:t>
            </w:r>
          </w:p>
        </w:tc>
        <w:tc>
          <w:tcPr>
            <w:tcW w:w="98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3860" w:type="dxa"/>
            <w:vAlign w:val="bottom"/>
            <w:tcBorders>
              <w:bottom w:val="single" w:sz="8" w:color="2C2C2C"/>
            </w:tcBorders>
            <w:gridSpan w:val="7"/>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2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102.19</w:t>
            </w:r>
          </w:p>
        </w:tc>
        <w:tc>
          <w:tcPr>
            <w:tcW w:w="9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06/10/2026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3,000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06/10/2036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20" w:type="dxa"/>
            <w:vAlign w:val="bottom"/>
          </w:tcPr>
          <w:p>
            <w:pPr>
              <w:spacing w:after="0"/>
              <w:rPr>
                <w:sz w:val="16"/>
                <w:szCs w:val="16"/>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3,000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upon the earlier of (i) the first anniversary of the grant date or (ii) the date of the Issuer's next annual meeting of stockholders following the grant date, subject in each case to the Reporting Person's continued service through the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Kathleen A. McGowan,</w:t>
            </w:r>
          </w:p>
        </w:tc>
        <w:tc>
          <w:tcPr>
            <w:tcW w:w="2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61156" TargetMode="External"/><Relationship Id="rId14" Type="http://schemas.openxmlformats.org/officeDocument/2006/relationships/hyperlink" Target="http://www.sec.gov/cgi-bin/browse-edgar?action=getcompany&amp;CIK=0001583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2026-06-12T15:14:53Z</dcterms:created>
  <dcterms:modified xsi:type="dcterms:W3CDTF">2026-06-12T15:14:53Z</dcterms:modified>
</cp:coreProperties>
</file>