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PALVELLA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Light Asset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769,117.00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769,117.00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769,117.00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Mathew P. Arens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769,117.00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769,117.00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769,117.00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5"/>
        <w:gridCol w:w="8925"/>
        <w:gridCol w:w="155"/>
      </w:tblGrid>
      <w:tr>
        <w:trPr/>
        <w:tc>
          <w:tcPr>
            <w:tcW w:w="1125" w:type="dxa"/>
            <w:tcBorders/>
            <w:vAlign w:val="center"/>
          </w:tcPr>
          <w:p>
            <w:pPr>
              <w:pStyle w:val="TableContents"/>
              <w:bidi w:val="0"/>
              <w:spacing w:before="0" w:after="283"/>
              <w:jc w:val="left"/>
              <w:rPr/>
            </w:pPr>
            <w:r>
              <w:rPr/>
              <w:t>Item 1.</w:t>
            </w:r>
          </w:p>
        </w:tc>
        <w:tc>
          <w:tcPr>
            <w:tcW w:w="892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Name of issuer: </w:t>
            </w:r>
          </w:p>
          <w:p>
            <w:pPr>
              <w:pStyle w:val="TableContents"/>
              <w:bidi w:val="0"/>
              <w:spacing w:before="0" w:after="0"/>
              <w:jc w:val="left"/>
              <w:rPr/>
            </w:pPr>
            <w:r>
              <w:rPr/>
              <w:t>PALVELLA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353 W. Lancaster Avenue, Suite 200, Wayne, PA 19087</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2.</w:t>
            </w:r>
          </w:p>
        </w:tc>
        <w:tc>
          <w:tcPr>
            <w:tcW w:w="892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the following: First Light Asset Management, LLC (the "Manager") Mathew P. Arens ("Mr. Arens") The Manager may be deemed to be the beneficial owner of 769,117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The Manager and Mr. Arens are filing this Schedule 13G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identified in Item 2(a) has its principal business office at: 3300 Edinborough Way, Suite 201, Edina, MN 55435</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jc w:val="left"/>
              <w:rPr/>
            </w:pPr>
            <w:r>
              <w:rPr/>
              <w:t xml:space="preserve">Citizenship: </w:t>
            </w:r>
          </w:p>
          <w:p>
            <w:pPr>
              <w:pStyle w:val="TableContents"/>
              <w:bidi w:val="0"/>
              <w:spacing w:before="0" w:after="0"/>
              <w:jc w:val="left"/>
              <w:rPr/>
            </w:pPr>
            <w:r>
              <w:rPr/>
              <w:t>First Light Asset Management, LLC - Delaware limited liability company Mathew P. Arens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(e)</w:t>
            </w:r>
          </w:p>
        </w:tc>
        <w:tc>
          <w:tcPr>
            <w:tcW w:w="892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3.</w:t>
            </w:r>
          </w:p>
        </w:tc>
        <w:tc>
          <w:tcPr>
            <w:tcW w:w="892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(e)</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(f)</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(g)</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(h)</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(j)</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(k)</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9080"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4.</w:t>
            </w:r>
          </w:p>
        </w:tc>
        <w:tc>
          <w:tcPr>
            <w:tcW w:w="892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First Light Asset Management, LLC - 769,117 Mathew P. Arens - 769,117</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First Light Asset Management, LLC - 5.34% Mathew P. Arens - 5.34%  %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First Light Asset Management, LLC - 0 Mathew P. Arens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First Light Asset Management, LLC - 769,117 Mathew P. Arens - 769,117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First Light Asset Management, LLC - 0 Mathew P. Arens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First Light Asset Management, LLC - 769,117 Mathew P. Arens - 769,117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5.</w:t>
            </w:r>
          </w:p>
        </w:tc>
        <w:tc>
          <w:tcPr>
            <w:tcW w:w="892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6.</w:t>
            </w:r>
          </w:p>
        </w:tc>
        <w:tc>
          <w:tcPr>
            <w:tcW w:w="892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7.</w:t>
            </w:r>
          </w:p>
        </w:tc>
        <w:tc>
          <w:tcPr>
            <w:tcW w:w="892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8.</w:t>
            </w:r>
          </w:p>
        </w:tc>
        <w:tc>
          <w:tcPr>
            <w:tcW w:w="892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9.</w:t>
            </w:r>
          </w:p>
        </w:tc>
        <w:tc>
          <w:tcPr>
            <w:tcW w:w="892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First Light Asset Management,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Kurt T. Peterson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Kurt T. Peterson/Chief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Mathew P. Arens</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Mathew P. Arens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Mathew P. Arens/Chief Executive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x99-a.htm"/>
      <w:bookmarkStart w:id="21" w:name="ksex99a"/>
      <w:bookmarkEnd w:id="20"/>
      <w:bookmarkEnd w:id="21"/>
      <w:r>
        <w:rPr>
          <w:rFonts w:ascii="Times New Roman;Times;Serif" w:hAnsi="Times New Roman;Times;Serif"/>
          <w:b/>
          <w:i w:val="false"/>
          <w:caps w:val="false"/>
          <w:smallCaps w:val="false"/>
          <w:sz w:val="20"/>
        </w:rPr>
        <w:t>Exhibit 99.(a)</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common stock of Palvella Therapeutics, Inc., dated as of August 14, 2026, is, and any amendment thereto signed by each of the undersigned shall be, filed on behalf of each of them pursuant to and in accordance with the provisions of Rule 13d-1(k) under the Securities Exchange Act of 1934, as amended.</w:t>
      </w:r>
    </w:p>
    <w:p>
      <w:pPr>
        <w:pStyle w:val="TextBody"/>
        <w:bidi w:val="0"/>
        <w:spacing w:before="0" w:after="160"/>
        <w:ind w:left="6210" w:right="0" w:hanging="990"/>
        <w:jc w:val="left"/>
        <w:rPr>
          <w:caps w:val="false"/>
          <w:smallCaps w:val="false"/>
        </w:rPr>
      </w:pPr>
      <w:r>
        <w:rPr>
          <w:caps w:val="false"/>
          <w:smallCaps w:val="false"/>
        </w:rPr>
        <w:t> </w:t>
      </w:r>
    </w:p>
    <w:p>
      <w:pPr>
        <w:pStyle w:val="TextBody"/>
        <w:bidi w:val="0"/>
        <w:spacing w:before="0" w:after="160"/>
        <w:ind w:left="68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LIGHT ASSET MANAGEMENT, LLC</w:t>
      </w:r>
    </w:p>
    <w:tbl>
      <w:tblPr>
        <w:tblW w:w="2320" w:type="dxa"/>
        <w:jc w:val="left"/>
        <w:tblInd w:w="0" w:type="dxa"/>
        <w:tblLayout w:type="fixed"/>
        <w:tblCellMar>
          <w:top w:w="0" w:type="dxa"/>
          <w:left w:w="0" w:type="dxa"/>
          <w:bottom w:w="0" w:type="dxa"/>
          <w:right w:w="0" w:type="dxa"/>
        </w:tblCellMar>
      </w:tblPr>
      <w:tblGrid>
        <w:gridCol w:w="75"/>
        <w:gridCol w:w="365"/>
        <w:gridCol w:w="188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880" w:type="dxa"/>
            <w:tcBorders>
              <w:bottom w:val="single" w:sz="8" w:space="0" w:color="000000"/>
            </w:tcBorders>
            <w:tcMar>
              <w:bottom w:w="28" w:type="dxa"/>
            </w:tcMar>
            <w:vAlign w:val="center"/>
          </w:tcPr>
          <w:p>
            <w:pPr>
              <w:pStyle w:val="TableContents"/>
              <w:bidi w:val="0"/>
              <w:spacing w:before="0" w:after="283"/>
              <w:jc w:val="left"/>
              <w:rPr/>
            </w:pPr>
            <w:r>
              <w:rPr/>
              <w:t>/s/ Kurt T. Peterson</w:t>
            </w:r>
          </w:p>
        </w:tc>
      </w:tr>
    </w:tbl>
    <w:tbl>
      <w:tblPr>
        <w:tblW w:w="2298" w:type="dxa"/>
        <w:jc w:val="left"/>
        <w:tblInd w:w="0" w:type="dxa"/>
        <w:tblLayout w:type="fixed"/>
        <w:tblCellMar>
          <w:top w:w="0" w:type="dxa"/>
          <w:left w:w="0" w:type="dxa"/>
          <w:bottom w:w="0" w:type="dxa"/>
          <w:right w:w="0" w:type="dxa"/>
        </w:tblCellMar>
      </w:tblPr>
      <w:tblGrid>
        <w:gridCol w:w="38"/>
        <w:gridCol w:w="65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1610" w:type="dxa"/>
            <w:tcBorders/>
            <w:vAlign w:val="center"/>
          </w:tcPr>
          <w:p>
            <w:pPr>
              <w:pStyle w:val="TableContents"/>
              <w:bidi w:val="0"/>
              <w:spacing w:before="0" w:after="283"/>
              <w:jc w:val="left"/>
              <w:rPr/>
            </w:pPr>
            <w:r>
              <w:rPr/>
              <w:t>Kurt T. Peterson</w:t>
            </w:r>
          </w:p>
        </w:tc>
      </w:tr>
    </w:tbl>
    <w:tbl>
      <w:tblPr>
        <w:tblW w:w="3048" w:type="dxa"/>
        <w:jc w:val="left"/>
        <w:tblInd w:w="0" w:type="dxa"/>
        <w:tblLayout w:type="fixed"/>
        <w:tblCellMar>
          <w:top w:w="0" w:type="dxa"/>
          <w:left w:w="0" w:type="dxa"/>
          <w:bottom w:w="0" w:type="dxa"/>
          <w:right w:w="0" w:type="dxa"/>
        </w:tblCellMar>
      </w:tblPr>
      <w:tblGrid>
        <w:gridCol w:w="38"/>
        <w:gridCol w:w="51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Chief Compliance Officer</w:t>
            </w:r>
          </w:p>
        </w:tc>
      </w:tr>
    </w:tbl>
    <w:p>
      <w:pPr>
        <w:pStyle w:val="TextBody"/>
        <w:bidi w:val="0"/>
        <w:spacing w:before="0" w:after="160"/>
        <w:ind w:left="6210" w:right="0" w:hanging="99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980"/>
        <w:gridCol w:w="1970"/>
      </w:tblGrid>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Signature:</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Mathew P. Arens</w:t>
            </w:r>
          </w:p>
        </w:tc>
      </w:tr>
    </w:tbl>
    <w:tbl>
      <w:tblPr>
        <w:tblW w:w="2388" w:type="dxa"/>
        <w:jc w:val="left"/>
        <w:tblInd w:w="0" w:type="dxa"/>
        <w:tblLayout w:type="fixed"/>
        <w:tblCellMar>
          <w:top w:w="0" w:type="dxa"/>
          <w:left w:w="0" w:type="dxa"/>
          <w:bottom w:w="0" w:type="dxa"/>
          <w:right w:w="0" w:type="dxa"/>
        </w:tblCellMar>
      </w:tblPr>
      <w:tblGrid>
        <w:gridCol w:w="38"/>
        <w:gridCol w:w="65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1700" w:type="dxa"/>
            <w:tcBorders/>
            <w:vAlign w:val="center"/>
          </w:tcPr>
          <w:p>
            <w:pPr>
              <w:pStyle w:val="TableContents"/>
              <w:bidi w:val="0"/>
              <w:spacing w:before="0" w:after="283"/>
              <w:jc w:val="left"/>
              <w:rPr/>
            </w:pPr>
            <w:r>
              <w:rPr/>
              <w:t>Mathew P. Arens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1308</Words>
  <Characters>6581</Characters>
  <CharactersWithSpaces>7856</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