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372-5_4seq1.xml.htm"/>
      <w:bookmarkStart w:id="1" w:name="kstm2617372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JENKINS GEORGE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PALVELLA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353 W. LANCASTER AVENUE,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PALVELLA THERAPEUTICS, INC.</w:t>
              </w:r>
            </w:hyperlink>
            <w:r>
              <w:rPr/>
              <w:t xml:space="preserve"> [ </w:t>
            </w:r>
            <w:r>
              <w:rPr>
                <w:rFonts w:ascii="Times;serif" w:hAnsi="Times;serif"/>
                <w:color w:val="0000FF"/>
                <w:sz w:val="24"/>
                <w:shd w:fill="FFFFFF" w:val="clear"/>
              </w:rPr>
              <w:t>PVLA</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102.19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this option shall vest upon the earlier of (i) the first anniversary of the grant date or (ii) the date of the Issuer's next annual meeting of stockholders following the grant date, subject in each case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Kathleen A. McGowan,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1081" TargetMode="External"/><Relationship Id="rId5" Type="http://schemas.openxmlformats.org/officeDocument/2006/relationships/hyperlink" Target="http://www.sec.gov/cgi-bin/browse-edgar?action=getcompany&amp;CIK=0001583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3376</Characters>
  <CharactersWithSpaces>3938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