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vla-20260630.htm"/>
      <w:bookmarkStart w:id="1" w:name="kspvla2026063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p>
            <w:pPr>
              <w:pStyle w:val="TableContents"/>
              <w:bidi w:val="0"/>
              <w:spacing w:before="60" w:after="283"/>
              <w:jc w:val="center"/>
              <w:rPr>
                <w:rFonts w:ascii="Times New Roman" w:hAnsi="Times New Roman"/>
                <w:sz w:val="18"/>
              </w:rPr>
            </w:pPr>
            <w:r>
              <w:rPr>
                <w:rFonts w:ascii="Times New Roman" w:hAnsi="Times New Roman"/>
                <w:b/>
                <w:color w:val="000000"/>
                <w:sz w:val="18"/>
              </w:rPr>
              <w:t>For the transition period from ____________ to ____________</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001-37471</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Palvella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p>
      <w:pPr>
        <w:pStyle w:val="TextBody"/>
        <w:pBdr>
          <w:bottom w:val="single" w:sz="8" w:space="1" w:color="000000"/>
        </w:pBdr>
        <w:bidi w:val="0"/>
        <w:spacing w:before="0" w:after="240"/>
        <w:jc w:val="center"/>
        <w:rPr/>
      </w:pPr>
      <w:r>
        <w:rPr/>
        <w:t> </w:t>
      </w:r>
    </w:p>
    <w:tbl>
      <w:tblPr>
        <w:tblW w:w="4112" w:type="dxa"/>
        <w:jc w:val="left"/>
        <w:tblInd w:w="0" w:type="dxa"/>
        <w:tblLayout w:type="fixed"/>
        <w:tblCellMar>
          <w:top w:w="28" w:type="dxa"/>
          <w:left w:w="28" w:type="dxa"/>
          <w:bottom w:w="28" w:type="dxa"/>
          <w:right w:w="28" w:type="dxa"/>
        </w:tblCellMar>
      </w:tblPr>
      <w:tblGrid>
        <w:gridCol w:w="2866"/>
        <w:gridCol w:w="1246"/>
      </w:tblGrid>
      <w:tr>
        <w:trP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30-0784346</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353 W. Lancaster Ave,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Wayne, Pennsylvania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19087</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(484) 253-1461</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255" w:type="dxa"/>
        <w:jc w:val="left"/>
        <w:tblInd w:w="0" w:type="dxa"/>
        <w:tblLayout w:type="fixed"/>
        <w:tblCellMar>
          <w:top w:w="28" w:type="dxa"/>
          <w:left w:w="28" w:type="dxa"/>
          <w:bottom w:w="28" w:type="dxa"/>
          <w:right w:w="28" w:type="dxa"/>
        </w:tblCellMar>
      </w:tblPr>
      <w:tblGrid>
        <w:gridCol w:w="3271"/>
        <w:gridCol w:w="146"/>
        <w:gridCol w:w="751"/>
        <w:gridCol w:w="146"/>
        <w:gridCol w:w="294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271" w:type="dxa"/>
            <w:tcBorders>
              <w:bottom w:val="single" w:sz="4" w:space="0" w:color="CCECFF"/>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6" w:type="dxa"/>
            <w:tcBorders>
              <w:bottom w:val="single" w:sz="4" w:space="0" w:color="CCECFF"/>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CCECFF"/>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PVLA</w:t>
            </w:r>
          </w:p>
        </w:tc>
        <w:tc>
          <w:tcPr>
            <w:tcW w:w="146" w:type="dxa"/>
            <w:tcBorders>
              <w:bottom w:val="single" w:sz="4" w:space="0" w:color="CCECFF"/>
            </w:tcBorders>
            <w:shd w:fill="CFF0FC" w:val="clear"/>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CCECFF"/>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Global Market</w:t>
            </w:r>
          </w:p>
        </w:tc>
      </w:tr>
    </w:tbl>
    <w:p>
      <w:pPr>
        <w:pStyle w:val="TextBody"/>
        <w:bidi w:val="0"/>
        <w:spacing w:before="240" w:after="283"/>
        <w:jc w:val="left"/>
        <w:rPr>
          <w:rFonts w:ascii="Times New Roman" w:hAnsi="Times New Roman"/>
          <w:sz w:val="20"/>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smallCaps/>
          <w:color w:val="000000"/>
          <w:sz w:val="17"/>
        </w:rPr>
        <w:t>Yes</w:t>
      </w:r>
      <w:r>
        <w:rPr>
          <w:rFonts w:ascii="Times New Roman" w:hAnsi="Times New Roman"/>
          <w:color w:val="000000"/>
          <w:sz w:val="20"/>
        </w:rPr>
        <w:t xml:space="preserve"> ☒ </w:t>
      </w:r>
      <w:r>
        <w:rPr>
          <w:rFonts w:ascii="Times New Roman" w:hAnsi="Times New Roman"/>
          <w:smallCaps/>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smallCaps/>
          <w:color w:val="000000"/>
          <w:sz w:val="17"/>
        </w:rPr>
        <w:t>Yes</w:t>
      </w:r>
      <w:r>
        <w:rPr>
          <w:rFonts w:ascii="Times New Roman" w:hAnsi="Times New Roman"/>
          <w:color w:val="000000"/>
          <w:sz w:val="20"/>
        </w:rPr>
        <w:t xml:space="preserve"> ☒ </w:t>
      </w:r>
      <w:r>
        <w:rPr>
          <w:rFonts w:ascii="Times New Roman" w:hAnsi="Times New Roman"/>
          <w:smallCaps/>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7"/>
        </w:rPr>
      </w:pPr>
      <w:r>
        <w:rPr>
          <w:rFonts w:ascii="Times New Roman" w:hAnsi="Times New Roman"/>
          <w:color w:val="000000"/>
          <w:sz w:val="17"/>
        </w:rPr>
        <w:t>The number of shares of Registrant’s common stock outstanding as of July 31, 2026 was 14,408,407.</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40"/>
        <w:jc w:val="center"/>
        <w:rPr>
          <w:rFonts w:ascii="Times New Roman" w:hAnsi="Times New Roman"/>
          <w:b/>
          <w:color w:val="000000"/>
          <w:sz w:val="22"/>
        </w:rPr>
      </w:pPr>
      <w:bookmarkStart w:id="2" w:name="toc_page"/>
      <w:bookmarkEnd w:id="2"/>
      <w:r>
        <w:rPr>
          <w:rFonts w:ascii="Times New Roman" w:hAnsi="Times New Roman"/>
          <w:b/>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8869"/>
        <w:gridCol w:w="512"/>
      </w:tblGrid>
      <w:tr>
        <w:trPr/>
        <w:tc>
          <w:tcPr>
            <w:tcW w:w="824" w:type="dxa"/>
            <w:tcBorders/>
            <w:vAlign w:val="center"/>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PART I. 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consolidated">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comprehensive_consolidated">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consolidated">
              <w:r>
                <w:rPr>
                  <w:rStyle w:val="InternetLink"/>
                  <w:rFonts w:ascii="Times New Roman" w:hAnsi="Times New Roman"/>
                  <w:color w:val="0000FF"/>
                  <w:sz w:val="20"/>
                  <w:u w:val="single"/>
                </w:rPr>
                <w:t>Condensed Consolidated Statements of Changes in Preferred Stock and Stockholders’ Equity (Deficit)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consolidated">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20</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Use of Proceeds, and Issuer Purchase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40" w:after="283"/>
        <w:jc w:val="center"/>
        <w:rPr>
          <w:rFonts w:ascii="Times New Roman" w:hAnsi="Times New Roman"/>
          <w:b/>
          <w:color w:val="000000"/>
          <w:sz w:val="22"/>
        </w:rPr>
      </w:pPr>
      <w:r>
        <w:rPr>
          <w:rFonts w:ascii="Times New Roman" w:hAnsi="Times New Roman"/>
          <w:b/>
          <w:color w:val="000000"/>
          <w:sz w:val="22"/>
        </w:rPr>
        <w:t>GENERAL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stated or the context requires otherwise, references in this Quarterly Report on Form 10-Q to “Palvella,” the “company,” the “Company,” “we,” “us,” “our” or similar designations refer to Palvella Therapeutics, Inc. (formerly Pieris Pharmaceuticals, Inc.) and its subsidiaries, taken together. All trademarks, service marks, trade names and registered marks used in this report are trademarks, trade names or registered marks of their respective owners.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References to “Pieris” refer to Pieris Pharmaceuticals, Inc., our predecessor company prior to the Merger (as defined below) and references to “Legacy Palvella” or “Palvella” refer to Palvella Therapeutics, Inc. prior to the Merger and our wholly owned subsidiary upon the consummation of the Merger (as defined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13, 2024 (the “Closing Date”), Palvella Therapeutics, Inc., a Nevada corporation (the “Company” or “Palvella”) (previously named Pieris Pharmaceuticals, Inc. and our predecessor company (“Pieris”)), consummated the previously announced merger pursuant to the terms of that certain Agreement and Plan of Merger, dated as of July 23, 2024 (the “Merger Agreement”), by and among the Company, Polo Merger Sub, Inc., a Delaware corporation and a wholly owned subsidiary of Pieris (the “Merger Sub”), and Palvella Therapeutics, Inc., a Delaware corporation (“Legacy Palvella”). Pursuant to the Merger Agreement, on the Closing Date, (i) Merger Sub merged with and into Legacy Palvella, with Legacy Palvella as the surviving company in the merger and, after giving effect to such merger, continuing as a wholly owned subsidiary of the Company (the “Merger”) and (ii) the Company’s name was changed from Pieris Pharmaceuticals, Inc. to Palvella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made in this Quarterly Report on Form 10-Q concerning the contents of any agreement, contract or other document are summaries of such agreements, contracts or documents and are not complete description of all of their terms. If we filed any of these agreements, contracts or documents as exhibits to this Quarterly Report on Form 10-Q or to any previous filing with the Securities and Exchange Commission (“SEC”), you may read the document itself for a complete understanding of its terms.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and the documents we incorporate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included or incorporated in this report regarding, among other things, our management team’s expectations, hopes, beliefs, intentions or strategies regarding the future, are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Forward-looking statements contained in this Quarterly Report on Form 10-Q may include, but are not limited to, statements about: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strategies, prospects, plans, expectations and objectives of management of our future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of, and expectations regarding our programs, including QTORIN rapamycin, QTORIN pitavastatin, and research-stage opportunities, including their expected therapeutic potential and market opportunity;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expectations regarding the timing of completion of the New Drug Application (“NDA”) submission;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expectations regarding the timing of potential U.S. Food and Drug Administration (“FDA”), regulatory approval of our lead product candidate QTORIN rapamycin and, if approved, its subsequent commercial launch;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to protect and enhance our products, proprietary technologies and intellectual property,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developments and projections relating to our competitors or industry;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expectations concerning our relationships and actions with third parties, including any licenses and collaborations with such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regulatory, judicial and legislative changes or uncertainties in our industry in the United States, Europe, and other jurisdictions, including due to uncertainty resulting from the recent change in U.S. administration and shift in government policy and the evolving regulatory environment;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utilize our proprietary drug development platform to develop a pipeline of product candidates to address unmet needs in rare skin disease and vascular malformation indications;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outcome of clinical trials of our product candidates, including the ability of those trials to satisfy relevant governmental and regulatory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timing of availability of data from our clinical trials;</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plans to research, develop and commercialize our current and future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reliance on contract manufacturers, contract research organizations and other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and advance current product candidates and programs into clinical studies and to successfully complete those studies;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manufacturing, commercialization, and marketing capabilities and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and the ability of third-party manufacturers that we engage to optimize and scale manufacturing;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size of the market opportunity for our product candidates, including estimates of the number of patients who suffer from the diseases we are targeting;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benefits of orphan drug designation and potential benefit of orphan drug exclusivity in the future for QTORIN rapamycin for the treatment of microcystic lymphatic malformations;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expectations regarding potential for accelerated approval or other expedited regulatory designations;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degree of market acceptance of our product candidates, as well as the pricing and reimbursement of our product candidates, if approved;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estimates of the number of patients that we will enroll in our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beneficial characteristics, and the potential safety, efficacy and therapeutic effects of our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and maintain regulatory approval of our product candidates and our expectations regarding various types of therapy;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expectations regarding the use of proceeds from recent and any future financings;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impact of healthcare reform in the U.S., including the Inflation Reduction Act of 2022, and measures being taken worldwide designed to reduce healthcare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volatility of capital markets and other macroeconomic factors, including those due to inflationary pressures, tariffs and other trade restrictions or the threat of such actions, interest rate and currency rate fluctuations, economic slowdown or recession, banking instability, monetary policy changes, geopolitical tensions or the outbreak of hostilities or war, including from the ongoing Russia-Ukraine war, the current conflicts in Venezuela and the Middle East (including any escalation or expansion) and increasing tensions between China and Taiwan;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 in our Annual Report on Form 10-K for the year ended December 31, 2025 (our “2025 Form 10-K”) and the other documents we file with the Securities and Exchange Commission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a number of important factors that could cause our actual results to differ materially from those indicated or implied by forward-looking statements. These important factors include those set forth under Part I, Item 1A “Risk Factors” in our 2025 Form 10-K, which was filed with the SEC on March 31, 2026, and in our other disclosures and filings with the SEC. These factors and the other cautionary statements made in this Quarterly Report on Form 10-Q and the documents we incorporate by reference should be read as being applicable to all related forward-looking statements whenever they appear in this Quarterly Report on Form 10-Q and the documents we incorporate by reference. Information contained on or made available through our website or other websites mentioned in this Quarterly Report on Form 10-Q is not incorporated into and is not a part of this Form 10-Q, and any references to our website are intended to be inactive textual references only.</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any forward-looking statements represent our estimates only as of the date that this Quarterly Report on Form 10-Q is filed with the SEC and should not be relied upon as representing our estimates as of any subsequent date. All forward-looking statements included in this Quarterly Report on Form 10-Q are made as of the date hereof and are expressly qualified in their entirety by this cautionary notice. We disclaim any intention or obligation to update or revise any forward-looking statement, whether as a result of new information, future events, or otherwise, except as may be required by law.</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2"/>
        </w:rPr>
      </w:pPr>
      <w:bookmarkStart w:id="3" w:name="part_1_financial_information"/>
      <w:bookmarkEnd w:id="3"/>
      <w:r>
        <w:rPr>
          <w:rFonts w:ascii="Times New Roman" w:hAnsi="Times New Roman"/>
          <w:b/>
          <w:color w:val="000000"/>
          <w:sz w:val="22"/>
        </w:rPr>
        <w:t>PART I—FINANCIAL INFORMATION</w:t>
      </w:r>
    </w:p>
    <w:p>
      <w:pPr>
        <w:pStyle w:val="TextBody"/>
        <w:bidi w:val="0"/>
        <w:spacing w:before="200" w:after="283"/>
        <w:jc w:val="left"/>
        <w:rPr>
          <w:rFonts w:ascii="Times New Roman" w:hAnsi="Times New Roman"/>
          <w:b/>
          <w:color w:val="000000"/>
          <w:sz w:val="22"/>
        </w:rPr>
      </w:pPr>
      <w:bookmarkStart w:id="4" w:name="item_1_financial_statements"/>
      <w:bookmarkEnd w:id="4"/>
      <w:r>
        <w:rPr>
          <w:rFonts w:ascii="Times New Roman" w:hAnsi="Times New Roman"/>
          <w:b/>
          <w:color w:val="000000"/>
          <w:sz w:val="22"/>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spacing w:before="240" w:after="283"/>
        <w:jc w:val="center"/>
        <w:rPr>
          <w:rFonts w:ascii="Times New Roman" w:hAnsi="Times New Roman"/>
          <w:sz w:val="20"/>
        </w:rPr>
      </w:pPr>
      <w:bookmarkStart w:id="5" w:name="balance_sheet_consolidated"/>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3"/>
        <w:gridCol w:w="346"/>
        <w:gridCol w:w="211"/>
        <w:gridCol w:w="841"/>
        <w:gridCol w:w="166"/>
        <w:gridCol w:w="146"/>
        <w:gridCol w:w="214"/>
        <w:gridCol w:w="856"/>
        <w:gridCol w:w="392"/>
      </w:tblGrid>
      <w:tr>
        <w:trPr/>
        <w:tc>
          <w:tcPr>
            <w:tcW w:w="70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59,559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 contingent value right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operating lease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agreement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royalty agreement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 shares authorized; 14,395,705 and 12,380,933 shares issued and outstanding at June 30, 2026 and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59,559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spacing w:before="240" w:after="283"/>
        <w:jc w:val="center"/>
        <w:rPr>
          <w:rFonts w:ascii="Times New Roman" w:hAnsi="Times New Roman"/>
          <w:sz w:val="20"/>
        </w:rPr>
      </w:pPr>
      <w:bookmarkStart w:id="6" w:name="operations_comprehensive_consolidated"/>
      <w:bookmarkEnd w:id="6"/>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0"/>
        <w:gridCol w:w="196"/>
        <w:gridCol w:w="916"/>
        <w:gridCol w:w="166"/>
        <w:gridCol w:w="146"/>
        <w:gridCol w:w="196"/>
        <w:gridCol w:w="916"/>
        <w:gridCol w:w="166"/>
        <w:gridCol w:w="146"/>
        <w:gridCol w:w="196"/>
        <w:gridCol w:w="916"/>
        <w:gridCol w:w="166"/>
        <w:gridCol w:w="146"/>
        <w:gridCol w:w="196"/>
        <w:gridCol w:w="916"/>
        <w:gridCol w:w="411"/>
      </w:tblGrid>
      <w:tr>
        <w:trPr/>
        <w:tc>
          <w:tcPr>
            <w:tcW w:w="4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royalty agreement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adjustments on derivative liabilities – royalty agreement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adjustments on derivative liabilities – contingent value right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of Common Stock – basic and diluted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 of Common Stock – basic and 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14,356,219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11,052,741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13,724,256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11,033,327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spacing w:before="240" w:after="283"/>
        <w:jc w:val="center"/>
        <w:rPr>
          <w:rFonts w:ascii="Times New Roman" w:hAnsi="Times New Roman"/>
          <w:b/>
          <w:color w:val="000000"/>
          <w:sz w:val="20"/>
        </w:rPr>
      </w:pPr>
      <w:bookmarkStart w:id="7" w:name="stockholders_equity_consolidated"/>
      <w:bookmarkEnd w:id="7"/>
      <w:r>
        <w:rPr>
          <w:rFonts w:ascii="Times New Roman" w:hAnsi="Times New Roman"/>
          <w:b/>
          <w:color w:val="000000"/>
          <w:sz w:val="20"/>
        </w:rPr>
        <w:t>CONDENSED CONSOLIDATED STATEMENTS OF CHANGES IN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4"/>
        <w:gridCol w:w="146"/>
        <w:gridCol w:w="1036"/>
        <w:gridCol w:w="146"/>
        <w:gridCol w:w="146"/>
        <w:gridCol w:w="261"/>
        <w:gridCol w:w="430"/>
        <w:gridCol w:w="146"/>
        <w:gridCol w:w="146"/>
        <w:gridCol w:w="211"/>
        <w:gridCol w:w="781"/>
        <w:gridCol w:w="166"/>
        <w:gridCol w:w="146"/>
        <w:gridCol w:w="542"/>
        <w:gridCol w:w="690"/>
        <w:gridCol w:w="166"/>
        <w:gridCol w:w="146"/>
        <w:gridCol w:w="211"/>
        <w:gridCol w:w="841"/>
        <w:gridCol w:w="166"/>
        <w:gridCol w:w="146"/>
        <w:gridCol w:w="220"/>
        <w:gridCol w:w="818"/>
        <w:gridCol w:w="414"/>
      </w:tblGrid>
      <w:tr>
        <w:trPr/>
        <w:tc>
          <w:tcPr>
            <w:tcW w:w="2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12,380,933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common stock options for cash, net of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14,313,659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232,313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3,250 shares of common stock upon settlement of employee performance stock units and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common stock options for cash, net of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14,395,705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216,867</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STATEMENTS OF CHANGES IN PREFERRED STOCK AND STOCKHOLDERS’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p>
      <w:pPr>
        <w:pStyle w:val="TextBody"/>
        <w:bidi w:val="0"/>
        <w:jc w:val="center"/>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2025</w:t>
            </w:r>
          </w:p>
        </w:tc>
      </w:tr>
    </w:tbl>
    <w:p>
      <w:pPr>
        <w:pStyle w:val="TextBody"/>
        <w:bidi w:val="0"/>
        <w:jc w:val="center"/>
        <w:rPr/>
      </w:pPr>
      <w:r>
        <w:rPr/>
        <w:t> </w:t>
      </w:r>
    </w:p>
    <w:tbl>
      <w:tblPr>
        <w:tblW w:w="11303" w:type="dxa"/>
        <w:jc w:val="left"/>
        <w:tblInd w:w="0" w:type="dxa"/>
        <w:tblLayout w:type="fixed"/>
        <w:tblCellMar>
          <w:top w:w="28" w:type="dxa"/>
          <w:left w:w="28" w:type="dxa"/>
          <w:bottom w:w="28" w:type="dxa"/>
          <w:right w:w="28" w:type="dxa"/>
        </w:tblCellMar>
      </w:tblPr>
      <w:tblGrid>
        <w:gridCol w:w="1281"/>
        <w:gridCol w:w="146"/>
        <w:gridCol w:w="146"/>
        <w:gridCol w:w="601"/>
        <w:gridCol w:w="146"/>
        <w:gridCol w:w="146"/>
        <w:gridCol w:w="249"/>
        <w:gridCol w:w="442"/>
        <w:gridCol w:w="146"/>
        <w:gridCol w:w="146"/>
        <w:gridCol w:w="146"/>
        <w:gridCol w:w="916"/>
        <w:gridCol w:w="146"/>
        <w:gridCol w:w="146"/>
        <w:gridCol w:w="249"/>
        <w:gridCol w:w="442"/>
        <w:gridCol w:w="146"/>
        <w:gridCol w:w="146"/>
        <w:gridCol w:w="196"/>
        <w:gridCol w:w="691"/>
        <w:gridCol w:w="146"/>
        <w:gridCol w:w="146"/>
        <w:gridCol w:w="473"/>
        <w:gridCol w:w="743"/>
        <w:gridCol w:w="166"/>
        <w:gridCol w:w="146"/>
        <w:gridCol w:w="217"/>
        <w:gridCol w:w="834"/>
        <w:gridCol w:w="166"/>
        <w:gridCol w:w="146"/>
        <w:gridCol w:w="254"/>
        <w:gridCol w:w="782"/>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11,012,105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62,607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 for cash, net of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11,021,389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55,577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 for cash, net of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11,059,665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47,780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PALVELLA THERAPEUTICS, INC. AND SUBSIDIARIES</w:t>
      </w:r>
    </w:p>
    <w:p>
      <w:pPr>
        <w:pStyle w:val="TextBody"/>
        <w:bidi w:val="0"/>
        <w:spacing w:before="240" w:after="283"/>
        <w:jc w:val="center"/>
        <w:rPr>
          <w:rFonts w:ascii="Times New Roman" w:hAnsi="Times New Roman"/>
          <w:b/>
          <w:color w:val="000000"/>
          <w:sz w:val="20"/>
        </w:rPr>
      </w:pPr>
      <w:bookmarkStart w:id="8" w:name="cash_flows_consolidated"/>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564" w:type="dxa"/>
        <w:jc w:val="left"/>
        <w:tblInd w:w="0" w:type="dxa"/>
        <w:tblLayout w:type="fixed"/>
        <w:tblCellMar>
          <w:top w:w="28" w:type="dxa"/>
          <w:left w:w="28" w:type="dxa"/>
          <w:bottom w:w="28" w:type="dxa"/>
          <w:right w:w="28" w:type="dxa"/>
        </w:tblCellMar>
      </w:tblPr>
      <w:tblGrid>
        <w:gridCol w:w="6676"/>
        <w:gridCol w:w="146"/>
        <w:gridCol w:w="211"/>
        <w:gridCol w:w="781"/>
        <w:gridCol w:w="166"/>
        <w:gridCol w:w="146"/>
        <w:gridCol w:w="211"/>
        <w:gridCol w:w="736"/>
        <w:gridCol w:w="49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interest expense – royalty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derivative liabilities – royalty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derivative liabilities – contingent value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transaction costs in connection with Reverse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common stock in connection with equity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financing cost in connection with equity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contingent value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spacing w:before="240" w:after="283"/>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Note 1. Description of Business, Organization and Liquidity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Palvella Therapeutics, Inc. (the “Company,” or “Palvella”) (previously named Pieris Pharmaceuticals, Inc. (“Pieris”)), a Nevada corporation, is a late clinical-stage biopharmaceutical company committed to serving individuals suffering from serious, rare skin diseases and vascular malformations without approved therapies. The Company’s lead product candidate, QTORIN 3.9% rapamycin anhydrous gel (“QTORIN rapamycin”), is based on the Company’s patented QTORIN platform. QTORIN rapamycin is in clinical development for microcystic lymphatic malformations (“microcystic LMs”), cutaneous venous malformations (“cutaneous VMs”) and angiokeratomas. The Company is conducting IND-enabling development for QTORIN pitavastatin for disseminated superficial actinic porokeratosis (“DSAP”). Since inception, the Company has devoted substantially all of its resources to identifying, researching and conducting preclinical and clinical activities for its product candidates, and developing its platform technology, organizing and staffing the Company, business planning, raising capital and establishing its intellectual property portfolio. The Company’s principal executive offices are located in Wayne, Pennsylvania.</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Reverse Merger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December 13, 2024 (the “Closing Date”), the Company consummated the previously announced merger pursuant to the terms of that certain Agreement and Plan of Merger, dated as of July 23, 2024 (the “Merger Agreement”), by and among the Company, Polo Merger Sub, Inc., a Delaware corporation and a wholly owned subsidiary of Pieris (the “Merger Sub”), and Palvella Therapeutics, Inc., a Delaware corporation (“Legacy Palvella”). Pursuant to the Merger Agreement, on the Closing Date, (i) Merger Sub merged with and into Legacy Palvella, with Legacy Palvella as the surviving company in the merger and, after giving effect to such merger, continuing as a wholly owned subsidiary of the Company (the “Reverse Merger”) and (ii) the Company’s name was changed from Pieris Pharmaceuticals, Inc. to Palvella Therapeutics, Inc. (the “Reverse Merger” and, together with the other transactions contemplated by the Merger Agreement, the “Business Combination”).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follows the provisions of Financial Accounting Standards Board (“FASB”) Accounting Standards Codification (“ASC”) Topic 205-40, </w:t>
      </w:r>
      <w:r>
        <w:rPr>
          <w:rFonts w:ascii="Times New Roman" w:hAnsi="Times New Roman"/>
          <w:i/>
          <w:color w:val="000000"/>
          <w:sz w:val="20"/>
        </w:rPr>
        <w:t>Presentation of Financial Statements—Going Concern</w:t>
      </w:r>
      <w:r>
        <w:rPr>
          <w:rFonts w:ascii="Times New Roman" w:hAnsi="Times New Roman"/>
          <w:color w:val="000000"/>
          <w:sz w:val="20"/>
        </w:rPr>
        <w:t>, which requires management to assess the Company’s ability to continue as a going concern within one year after the date the financial statements are issued.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inception, the Company has incurred net losses and negative cash flows from operations. During the six months ended June 30, 2026 and 2025, the Company reported a net loss of $37.6 million and $17.7 million, respectively, and net cash used in operating activities of $23.7 million and $12.2 million, respectively. At June 30, 2026, the Company had an accumulated deficit of $173.1 million and cash and cash equivalents and short-term investments of $250.6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Management does not expect to generate commercial revenue or operating cash flows in the near-term. The Company’s ability to continue as a going concern in the near term is largely dependent on its existing cash and cash equivalents balance and ability to obtain additional sources of financing in order to fund operating expenses, complete development of its product candidates, obtain regulatory approvals, launch, and commercialize its product candidates, and continue research and development programs. Assuming no additional fund raising, the Company’s forecasted cash required to fund operations indicates that the Company has sufficient funds to support operations through at least the one-year period from the issuance date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pursuant to the rules and regulations of the United States Securities and Exchange Commission (“SEC”) for interim financial reporting. Accordingly, they do not include all of the information and disclosures required by accounting principles generally accepted in the United States (“U.S. GAAP”) for complete financial statements as certain footnotes or other financial information that are normally required by U.S. GAAP can be condensed or omitted. These condensed consolidated statements are unaudited and, in the opinion of management, include all adjustments (consisting of normal recurring adjustments and accruals) necessary to fairly present the results of the interim periods. The results of operations and cash flows for the six months ended June 30, 2026 are not necessarily indicative of the results that may be expected for the fiscal year ended December 31, 2026 or any other future period.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preparation of consolidated financial statements in accordance with U.S. GAAP requires management to make estimates and assumptions that affect the reported amounts of assets and liabilities and disclosure of contingent assets and liabilities at the date of the consolidated financial statements and reported amounts of revenues and expenses during the reporting period.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and actual results could differ materially from those estimates.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Financial instruments that potentially expose the Company to concentrations of credit risk consist primarily of cash and cash equivalents. The Company holds cash at two accredited financial institutions in amounts that exceed federally insured limits. The Company does not believe that it is subject to unusual credit risk beyond the normal credit risk associated with commercial banking relationships. In addition, the Company also maintains cash in a German bank account in denominations of Euros and U.S. dollars. The Company has not experienced any losses on its deposits of cash and cash equivalents.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is dependent on contract manufacturing organizations (“CMOs”) to supply products for research and development of its product candidates, including pre-clinical and clinical studies, and for commercialization of its product candidates, if approved. The Company’s development programs could be adversely affected by any significant interruption in its CMOs’ operations or by a significant interruption in the supply of active pharmaceutical ingredients and other components.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Products developed by the Company require approval from the FDA or other international regulatory agencies prior to commercial sales. There can be no assurance the Company’s product candidates will receive the necessary approvals. If the Company is denied approvals, approvals are delayed, or it is unable to maintain approvals received, such events could have a materially adverse impact on the Company.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Comprehensive Loss and Accumulated Other Comprehensive (Loss)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comprehensive (loss) income is defined as the change in equity during a period from transactions and other events and circumstances from non-owner sources, including unrealized gains and losses on investments and foreign currency translation gains and losses.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Cash and cash equivalents are held in accounts at multiple independent financial institutions. Cash equivalents are defined as money market funds with maturity from date of purchase of 90 days or less that are readily convertible into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Investments</w:t>
      </w:r>
    </w:p>
    <w:p>
      <w:pPr>
        <w:pStyle w:val="TextBody"/>
        <w:bidi w:val="0"/>
        <w:jc w:val="both"/>
        <w:rPr>
          <w:rFonts w:ascii="Times New Roman" w:hAnsi="Times New Roman"/>
          <w:color w:val="000000"/>
          <w:sz w:val="20"/>
        </w:rPr>
      </w:pPr>
      <w:r>
        <w:rPr>
          <w:rFonts w:ascii="Times New Roman" w:hAnsi="Times New Roman"/>
          <w:color w:val="000000"/>
          <w:sz w:val="20"/>
        </w:rPr>
        <w:t>The Company invests in fixed maturity securities including U.S. Treasury bills and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income (loss) and the consolidated statements of changes in preferred stock and stockholders’ equity (deficit).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0"/>
        </w:rPr>
      </w:pPr>
      <w:r>
        <w:rPr>
          <w:rFonts w:ascii="Times New Roman" w:hAnsi="Times New Roman"/>
          <w:color w:val="000000"/>
          <w:sz w:val="20"/>
          <w:u w:val="single"/>
        </w:rPr>
        <w:t>Level 1</w:t>
      </w:r>
      <w:r>
        <w:rPr>
          <w:rFonts w:ascii="Times New Roman" w:hAnsi="Times New Roman"/>
          <w:color w:val="000000"/>
          <w:sz w:val="20"/>
        </w:rPr>
        <w:t xml:space="preserve"> – Quoted prices in active markets for identical assets or liabilities.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0"/>
        </w:rPr>
      </w:pPr>
      <w:r>
        <w:rPr>
          <w:rFonts w:ascii="Times New Roman" w:hAnsi="Times New Roman"/>
          <w:color w:val="000000"/>
          <w:sz w:val="20"/>
          <w:u w:val="single"/>
        </w:rPr>
        <w:t>Level 2</w:t>
      </w:r>
      <w:r>
        <w:rPr>
          <w:rFonts w:ascii="Times New Roman" w:hAnsi="Times New Roman"/>
          <w:color w:val="000000"/>
          <w:sz w:val="20"/>
        </w:rPr>
        <w:t xml:space="preserve">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0"/>
        </w:rPr>
      </w:pPr>
      <w:r>
        <w:rPr>
          <w:rFonts w:ascii="Times New Roman" w:hAnsi="Times New Roman"/>
          <w:color w:val="000000"/>
          <w:sz w:val="20"/>
          <w:u w:val="single"/>
        </w:rPr>
        <w:t>Level 3</w:t>
      </w:r>
      <w:r>
        <w:rPr>
          <w:rFonts w:ascii="Times New Roman" w:hAnsi="Times New Roman"/>
          <w:color w:val="000000"/>
          <w:sz w:val="20"/>
        </w:rPr>
        <w:t xml:space="preserve">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June 30, 2026 and December 31, 2025, the carrying amounts of financial instruments, which include cash and cash equivalents, accounts payable, and accrued expenses and other liabilities, approximate their fair value due to their short maturities. At June 30, 2026 and December 31, 2025, the fair value of the royalty agreement liability, which is based on Level 3 inputs (including probability-weighted cash flow estimates of the Company’s potential future royalty payments and a weighted-average cost of capital of 16.0% and 18.0%, respectively) is approximately $97.3 million and $61.5 million, respectively. The Company records its investments and derivative liabilities at fair value.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evaluates its contracts to determine if those contracts qualify as derivatives under ASC 815, </w:t>
      </w:r>
      <w:r>
        <w:rPr>
          <w:rFonts w:ascii="Times New Roman" w:hAnsi="Times New Roman"/>
          <w:i/>
          <w:color w:val="000000"/>
          <w:sz w:val="20"/>
        </w:rPr>
        <w:t>Derivatives and Hedging</w:t>
      </w:r>
      <w:r>
        <w:rPr>
          <w:rFonts w:ascii="Times New Roman" w:hAnsi="Times New Roman"/>
          <w:color w:val="000000"/>
          <w:sz w:val="20"/>
        </w:rPr>
        <w:t>. For derivative financial instruments that are accounted for as assets or liabilities, the derivative instrument is initially recorded at its fair value and is then re-valued at each reporting date. Any changes in fair value are recorded as other income or expense for each reporting period. Derivative instrument assets or liabilities are classified in the balance sheet as current or non-current based on whether or not net-cash settlement of the derivative instrument is probable within the next 12 months from the balance sheet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has milestone payments which may be required in connection with the royalty agreement (see Note 3) that were determined to be derivative liabilities. The valuation of the derivative liabilities is based on unobservable inputs and, therefore, represent Level 3 financial liabilities. The fair value of the derivative liabilities – royalty agreement was calculated using the present value of the potential payments using a weighted-average cost of capital and an assessment of the probability of the achievement of the milestones as well as an assessment of the timing of the potential milestone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derivative liabilities – royalty agreement was initially recorded at fair value, with gains and losses arising for changes in fair value of the derivative liabilities – royalty agreement recognized within the condensed consolidated statements of operations as fair value adjustments on the derivative liabilities at each financial reporting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determined that certain contingent payments that may become payable under the Contingent Value Rights Agreement entered into on December 13, 2024 with a rights agent, immediately prior to the closing of the Reverse Merger (the “CVR Agreement”) related to the asset sales prior to the Reverse Merger qualify as derivatives under ASC 815. Upon such time that these payments were assessed a fair value, they were recorded as a liability on the balance sheet. These values are then remeasured for future expected payout or receipt, as well as the increase in fair value due to the time value of money. These gains or losses, if any, are recognized in the condensed consolidated statements of operations within other income, net.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derivative liabilities – CVR agreement was initially recorded at fair value, with gains and losses arising from changes in fair value of the derivative liabilities – CVR recognized within the condensed consolidated statements of operations as fair value adjustments on the derivative liabilities at each financial reporting period.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Research and development costs are charged to expense as incurred. Research and development expenses include, among other costs, salaries and benefits of scientific personnel and the external cost of producing and testing the clinical material for clinical trials.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entered into various research and development and clinical trial-related contracts. The Company defers and capitalizes prepaid nonrefundable advance research and development payments to third parties for goods and services to be used in future research and development activities and recognizes to research and development expense over the period that the research and development activities are performed, or the services are provided. These agreements are generally cancelable, and related payments are recorded as research and development expenses as incurred. The Company records accruals for estimated ongoing research and clinical trial costs. When determining the accruals, at the end of a reporting period, the Company analyzes progress of its studies and clinical trials, including the phase or completion of events, invoices received and contracted costs. Actual results could differ from the Company’s estimates.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accounts for stock-based compensation awards in accordance with ASC Topic 718, </w:t>
      </w:r>
      <w:r>
        <w:rPr>
          <w:rFonts w:ascii="Times New Roman" w:hAnsi="Times New Roman"/>
          <w:i/>
          <w:color w:val="000000"/>
          <w:sz w:val="20"/>
        </w:rPr>
        <w:t>Compensation – Stock Compensation</w:t>
      </w:r>
      <w:r>
        <w:rPr>
          <w:rFonts w:ascii="Times New Roman" w:hAnsi="Times New Roman"/>
          <w:color w:val="000000"/>
          <w:sz w:val="20"/>
        </w:rPr>
        <w:t xml:space="preserve"> (“ASC 718”). ASC 718 requires all stock-based payments, including grants of stock options and restricted stock, to be recognized in the condensed consolidated statements of operations based on their fair values. Stock-based awards are subject to service-based or performance-based vesting conditions. Management estimates the fair value of the stock option awards using the Black-Scholes option pricing model, which requires the input of assumptions, including (a) the fair value of the Company’s common stock, (b) the expected stock price volatility, (c) the calculation of expected term of the award, (d) the risk-free interest rate and (e) expected dividends. Management estimates the fair value of the restricted stock awards using the fair value of the Company’s common stock. Forfeitures are recognized as they are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of the Company’s common stock is based on the closing stock price on the date of grant as reported on the Nasdaq Global Market. The expected life of the stock options in years is estimated using the “simplified method,” as 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 The expected dividend yield is zero as the Company has no history of paying dividends and no plans to do so in the near term.</w:t>
      </w:r>
    </w:p>
    <w:p>
      <w:pPr>
        <w:pStyle w:val="TextBody"/>
        <w:bidi w:val="0"/>
        <w:jc w:val="both"/>
        <w:rPr>
          <w:rFonts w:ascii="Times New Roman" w:hAnsi="Times New Roman"/>
          <w:color w:val="000000"/>
          <w:sz w:val="20"/>
        </w:rPr>
      </w:pPr>
      <w:r>
        <w:rPr>
          <w:rFonts w:ascii="Times New Roman" w:hAnsi="Times New Roman"/>
          <w:color w:val="000000"/>
          <w:sz w:val="20"/>
        </w:rPr>
        <w:t xml:space="preserve">Compensation cost related to restricted stock units (“RSUs”) and performance stock units (“PSUs”) is based on the fair market value at the time of the grant. The Company recognizes the compensation cost related to RSUs over the requisite service period as determined by the grant, amortized ratably or on a straight-line basis over the life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grant. The Company recognizes compensation cost for PSUs over the performance period, adjusting this cost based on the Company's estimate of the probability that performance metrics will be achieved.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classifies stock-based compensation expense in its condensed consolidated statements of operations and comprehensive loss in the same manner of the award recipient’s payroll costs.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Government Grants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recognizes grants from governmental agencies when there is reasonable assurance that the Company will comply with the conditions attached to the grant arrangement and the grant will be received. The Company evaluates the conditions of each grant as of each reporting period to evaluate whether the Company has reached reasonable assurance of meeting the conditions of each grant arrangement and that it is expected that the grant will be received as a result of meeting the necessary conditions. Grants are recognized in the condensed consolidated statements of operations on a systematic basis over the periods in which the Company recognizes the related costs for which the government grant is intended to compensate. Specifically, grant income related to research and development costs is recognized as such expenses are incurred. Grant income is recorded as a reduction of research and development costs in the condensed consolidated statements of operations. In September 2024, the Company received a grant award notice from the Department of Health and Human Services in connection with its ongoing Phase 3 clinical trial, SELVA. During the three and six months ended June 30, 2025, the Company recognized $0.2 million and $0.3 million, respectively, of grant income as a reduction to research and development costs in the accompanying condensed consolidated statements of operations. The Company did not recognize any grant income during the three and six months ended June 30, 2026.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jc w:val="both"/>
        <w:rPr>
          <w:rFonts w:ascii="Times New Roman" w:hAnsi="Times New Roman"/>
          <w:sz w:val="20"/>
        </w:rPr>
      </w:pPr>
      <w:r>
        <w:rPr>
          <w:rFonts w:ascii="Times New Roman" w:hAnsi="Times New Roman"/>
          <w:color w:val="000000"/>
          <w:sz w:val="20"/>
        </w:rPr>
        <w:t xml:space="preserve">In accordance with ASC 270, </w:t>
      </w:r>
      <w:r>
        <w:rPr>
          <w:rFonts w:ascii="Times New Roman" w:hAnsi="Times New Roman"/>
          <w:i/>
          <w:color w:val="000000"/>
          <w:sz w:val="20"/>
        </w:rPr>
        <w:t>Interim Reporting</w:t>
      </w:r>
      <w:r>
        <w:rPr>
          <w:rFonts w:ascii="Times New Roman" w:hAnsi="Times New Roman"/>
          <w:color w:val="000000"/>
          <w:sz w:val="20"/>
        </w:rPr>
        <w:t xml:space="preserve">, and ASC 740, </w:t>
      </w:r>
      <w:r>
        <w:rPr>
          <w:rFonts w:ascii="Times New Roman" w:hAnsi="Times New Roman"/>
          <w:i/>
          <w:color w:val="000000"/>
          <w:sz w:val="20"/>
        </w:rPr>
        <w:t>Income Taxes</w:t>
      </w:r>
      <w:r>
        <w:rPr>
          <w:rFonts w:ascii="Times New Roman" w:hAnsi="Times New Roman"/>
          <w:color w:val="000000"/>
          <w:sz w:val="20"/>
        </w:rPr>
        <w:t>, the Company is required at the end of each interim period to determine the best estimate of its annual effective tax rate and then apply that rate in providing for income taxes on a current year-to-date (interim period) basis. For the three and six months ended June 30, 2026 and 2025, the Company recorded no tax expense or benefit due to the expected current year loss and its historical losses. The Company has not recorded its net deferred tax asset as of either June 30, 2026 or December 31, 2025 because it maintained a full valuation allowance against all deferred tax assets as of these dates as management has determined that it is not more likely than not that the Company will realize these future tax benefits. As of June 30, 2026 and December 31, 2025, the Company had no uncertain tax positions.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evaluated the OBBBA and estimated its impact on the condensed consolidated financial statements to be immaterial.</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board of directors reviews and approves transactions with directors, officers, and holders of 5% or more of its voting securities and their affiliates, each a related party. The material facts as to the related party’s relationship or interest in the transaction are disclosed to its board of directors prior to their consideration of such transaction, and the transaction is not considered approved by its board of directors unless a majority of the directors who are not interested in the transaction approve the transaction.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Segments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ASU No.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(“ASU 2023-07”) which applies to public entities with a single reportable segment and requires disclosures about each reportable segments’ significant expenses and other segment items on an interim and annual basis. See Note 9 for related disclosures.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Basic net loss per share is calculated by dividing net income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determined using the treasury-stock and if-converted methods. For purposes of the diluted net loss per share calculation, preferred stock, stock options and warrants are considered to be common stock equivalents but have been excluded from the calculation of diluted net loss per share, as their effect would be anti-dilutive for all periods presented. For the three and six months ended June 30, 2026 and 2025, basic and diluted net loss per share are the same.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Recently Issued (Not Yet Adopted) Accounting Standards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In November 2024, the Financial Account Standards Board (“FASB”) issued ASU 2024-03, </w:t>
      </w:r>
      <w:r>
        <w:rPr>
          <w:rFonts w:ascii="Times New Roman" w:hAnsi="Times New Roman"/>
          <w:i/>
          <w:color w:val="000000"/>
          <w:sz w:val="20"/>
        </w:rPr>
        <w:t>Income Statement – Disaggregation of Income Statement Expenses (DISE)</w:t>
      </w:r>
      <w:r>
        <w:rPr>
          <w:rFonts w:ascii="Times New Roman" w:hAnsi="Times New Roman"/>
          <w:color w:val="000000"/>
          <w:sz w:val="20"/>
        </w:rPr>
        <w:t>,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consolidated financial statements. ASU 2024-03 is effective for all PBEs for fiscal years beginning after December 15, 2026, and interim periods within fiscal years beginning after December 15, 2027. The Company is currently evaluating the impacts the ASU has on its consolidated financial statements.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Government Grants (Topics 832) - Accounting for Government Grants Received by Business Entities</w:t>
      </w:r>
      <w:r>
        <w:rPr>
          <w:rFonts w:ascii="Times New Roman" w:hAnsi="Times New Roman"/>
          <w:color w:val="000000"/>
          <w:sz w:val="20"/>
        </w:rPr>
        <w:t>, which provides authoritative guidance for the recognition, measurement and presentation of government grants received by a business entity. The standard is effective for fiscal years beginning after December 15, 2028 and early adoption is permitted. The Company is currently evaluating the potential impact of this standard on its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measured at fair value on a recurring basis and indicate the level of the fair value hierarchy utilized to determine such fair values (in thousands):</w:t>
      </w:r>
    </w:p>
    <w:tbl>
      <w:tblPr>
        <w:tblW w:w="8932" w:type="dxa"/>
        <w:jc w:val="left"/>
        <w:tblInd w:w="0" w:type="dxa"/>
        <w:tblLayout w:type="fixed"/>
        <w:tblCellMar>
          <w:top w:w="28" w:type="dxa"/>
          <w:left w:w="28" w:type="dxa"/>
          <w:bottom w:w="28" w:type="dxa"/>
          <w:right w:w="28" w:type="dxa"/>
        </w:tblCellMar>
      </w:tblPr>
      <w:tblGrid>
        <w:gridCol w:w="3666"/>
        <w:gridCol w:w="146"/>
        <w:gridCol w:w="211"/>
        <w:gridCol w:w="781"/>
        <w:gridCol w:w="146"/>
        <w:gridCol w:w="146"/>
        <w:gridCol w:w="211"/>
        <w:gridCol w:w="676"/>
        <w:gridCol w:w="146"/>
        <w:gridCol w:w="146"/>
        <w:gridCol w:w="211"/>
        <w:gridCol w:w="571"/>
        <w:gridCol w:w="146"/>
        <w:gridCol w:w="146"/>
        <w:gridCol w:w="211"/>
        <w:gridCol w:w="781"/>
        <w:gridCol w:w="5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 royalty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9515" w:type="dxa"/>
        <w:jc w:val="left"/>
        <w:tblInd w:w="0" w:type="dxa"/>
        <w:tblLayout w:type="fixed"/>
        <w:tblCellMar>
          <w:top w:w="28" w:type="dxa"/>
          <w:left w:w="28" w:type="dxa"/>
          <w:bottom w:w="28" w:type="dxa"/>
          <w:right w:w="28" w:type="dxa"/>
        </w:tblCellMar>
      </w:tblPr>
      <w:tblGrid>
        <w:gridCol w:w="4716"/>
        <w:gridCol w:w="146"/>
        <w:gridCol w:w="211"/>
        <w:gridCol w:w="676"/>
        <w:gridCol w:w="146"/>
        <w:gridCol w:w="146"/>
        <w:gridCol w:w="239"/>
        <w:gridCol w:w="391"/>
        <w:gridCol w:w="146"/>
        <w:gridCol w:w="146"/>
        <w:gridCol w:w="211"/>
        <w:gridCol w:w="571"/>
        <w:gridCol w:w="146"/>
        <w:gridCol w:w="146"/>
        <w:gridCol w:w="211"/>
        <w:gridCol w:w="676"/>
        <w:gridCol w:w="5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 royalty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 contingent value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as of June 30, 2026 and December 31, 2025 includes cash and investments in money market funds. Money market funds, which are cash equivalents, are highly liquid investments and are actively traded. The pricing information on the Company’s money market funds is based on quoted prices in active markets for identical securities. This approach results in a classification of these securities as Level 1 of the fair value hierarchy.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Levels during the period ended June 30, 2026. The Company uses the services of its investment manager, which uses widely accepted models for assumptions in valuing securities with inputs from major third-party data providers.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classifies all of its investments in fixed maturity debt securities as available-for-sale and, accordingly, are carried at estimated fair value.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amortized cost, gross unrealized gains and losses, and fair value of investments in fixed maturity securities as of June 30, 2026 are as follows:</w:t>
      </w:r>
    </w:p>
    <w:tbl>
      <w:tblPr>
        <w:tblW w:w="10205" w:type="dxa"/>
        <w:jc w:val="left"/>
        <w:tblInd w:w="0" w:type="dxa"/>
        <w:tblLayout w:type="fixed"/>
        <w:tblCellMar>
          <w:top w:w="28" w:type="dxa"/>
          <w:left w:w="28" w:type="dxa"/>
          <w:bottom w:w="28" w:type="dxa"/>
          <w:right w:w="28" w:type="dxa"/>
        </w:tblCellMar>
      </w:tblPr>
      <w:tblGrid>
        <w:gridCol w:w="3045"/>
        <w:gridCol w:w="146"/>
        <w:gridCol w:w="285"/>
        <w:gridCol w:w="916"/>
        <w:gridCol w:w="146"/>
        <w:gridCol w:w="146"/>
        <w:gridCol w:w="567"/>
        <w:gridCol w:w="1137"/>
        <w:gridCol w:w="146"/>
        <w:gridCol w:w="146"/>
        <w:gridCol w:w="527"/>
        <w:gridCol w:w="1204"/>
        <w:gridCol w:w="166"/>
        <w:gridCol w:w="146"/>
        <w:gridCol w:w="211"/>
        <w:gridCol w:w="676"/>
        <w:gridCol w:w="595"/>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All of the Company’s fixed maturity available-for-sale securities have maturities of less than one year.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June 30, 2026, the Company had seven available-for-sale investment debt securities in an unrealized loss position without an allowance for credit losses. Unrealized losses on governmental debt securities have not been recognized into income because the issuers’ securities are of high credit quality (rated AA+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securities. The fair value is expected to recover as the securities approach maturity.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accrued interest receivable on available-for-sale investment debt securities totaling $0.4 million is excluded from the estimate of credit losses and is included in prepaid expenses and other current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Assumptions Used in Determining Fair Value of Derivative Liabilities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key assumptions used to determine the fair value of the derivative liabilities – royalty agreement at June 30, 2026 and December 31, 2025 are as follows:</w:t>
      </w:r>
    </w:p>
    <w:tbl>
      <w:tblPr>
        <w:tblW w:w="7661" w:type="dxa"/>
        <w:jc w:val="left"/>
        <w:tblInd w:w="0" w:type="dxa"/>
        <w:tblLayout w:type="fixed"/>
        <w:tblCellMar>
          <w:top w:w="28" w:type="dxa"/>
          <w:left w:w="28" w:type="dxa"/>
          <w:bottom w:w="28" w:type="dxa"/>
          <w:right w:w="28" w:type="dxa"/>
        </w:tblCellMar>
      </w:tblPr>
      <w:tblGrid>
        <w:gridCol w:w="4861"/>
        <w:gridCol w:w="146"/>
        <w:gridCol w:w="197"/>
        <w:gridCol w:w="629"/>
        <w:gridCol w:w="271"/>
        <w:gridCol w:w="146"/>
        <w:gridCol w:w="261"/>
        <w:gridCol w:w="834"/>
        <w:gridCol w:w="31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Probability rate of achieving FDA approval of a product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to FDA regulatory approval of a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Source: </w:t>
      </w:r>
      <w:r>
        <w:rPr>
          <w:rFonts w:ascii="Times New Roman" w:hAnsi="Times New Roman"/>
          <w:i/>
          <w:color w:val="000000"/>
          <w:sz w:val="20"/>
        </w:rPr>
        <w:t>Clinical Development Success Rates and Contributing Factors 2011-2020</w:t>
      </w:r>
      <w:r>
        <w:rPr>
          <w:rFonts w:ascii="Times New Roman" w:hAnsi="Times New Roman"/>
          <w:color w:val="000000"/>
          <w:sz w:val="20"/>
        </w:rPr>
        <w:t xml:space="preserve"> study of drug approval success from February 2021. The probability assumption used reflects the study’s estimate of the likelihood of approval of a Phase 3 drug that has not yet submitted its full NDA.</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Changes in Level 3 Liabilities Measured at Fair Value on a Recurring Basis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provides a reconciliation of the liabilities measured at fair value on a recurring basis using significant unobservable inputs (Level 3) (in thousands):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Derivative Liabilities – Royalty Agreement</w:t>
      </w:r>
    </w:p>
    <w:tbl>
      <w:tblPr>
        <w:tblW w:w="5420" w:type="dxa"/>
        <w:jc w:val="left"/>
        <w:tblInd w:w="0" w:type="dxa"/>
        <w:tblLayout w:type="fixed"/>
        <w:tblCellMar>
          <w:top w:w="28" w:type="dxa"/>
          <w:left w:w="28" w:type="dxa"/>
          <w:bottom w:w="28" w:type="dxa"/>
          <w:right w:w="28" w:type="dxa"/>
        </w:tblCellMar>
      </w:tblPr>
      <w:tblGrid>
        <w:gridCol w:w="4101"/>
        <w:gridCol w:w="146"/>
        <w:gridCol w:w="211"/>
        <w:gridCol w:w="57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royalty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tbl>
      <w:tblPr>
        <w:tblW w:w="5420" w:type="dxa"/>
        <w:jc w:val="left"/>
        <w:tblInd w:w="0" w:type="dxa"/>
        <w:tblLayout w:type="fixed"/>
        <w:tblCellMar>
          <w:top w:w="28" w:type="dxa"/>
          <w:left w:w="28" w:type="dxa"/>
          <w:bottom w:w="28" w:type="dxa"/>
          <w:right w:w="28" w:type="dxa"/>
        </w:tblCellMar>
      </w:tblPr>
      <w:tblGrid>
        <w:gridCol w:w="4101"/>
        <w:gridCol w:w="146"/>
        <w:gridCol w:w="211"/>
        <w:gridCol w:w="57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royalty agreement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derivative liabilities – royalty agreement is classified as long term on the Company’s condensed consolidated balance sheets according to the estimated timing of the occurrence of the potential payments.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Derivative Liabilities – Contingent Value Right Liability</w:t>
      </w:r>
    </w:p>
    <w:tbl>
      <w:tblPr>
        <w:tblW w:w="5870" w:type="dxa"/>
        <w:jc w:val="left"/>
        <w:tblInd w:w="0" w:type="dxa"/>
        <w:tblLayout w:type="fixed"/>
        <w:tblCellMar>
          <w:top w:w="28" w:type="dxa"/>
          <w:left w:w="28" w:type="dxa"/>
          <w:bottom w:w="28" w:type="dxa"/>
          <w:right w:w="28" w:type="dxa"/>
        </w:tblCellMar>
      </w:tblPr>
      <w:tblGrid>
        <w:gridCol w:w="4471"/>
        <w:gridCol w:w="146"/>
        <w:gridCol w:w="211"/>
        <w:gridCol w:w="631"/>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contingent value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contingent value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tbl>
      <w:tblPr>
        <w:tblW w:w="5790" w:type="dxa"/>
        <w:jc w:val="left"/>
        <w:tblInd w:w="0" w:type="dxa"/>
        <w:tblLayout w:type="fixed"/>
        <w:tblCellMar>
          <w:top w:w="28" w:type="dxa"/>
          <w:left w:w="28" w:type="dxa"/>
          <w:bottom w:w="28" w:type="dxa"/>
          <w:right w:w="28" w:type="dxa"/>
        </w:tblCellMar>
      </w:tblPr>
      <w:tblGrid>
        <w:gridCol w:w="4471"/>
        <w:gridCol w:w="146"/>
        <w:gridCol w:w="211"/>
        <w:gridCol w:w="571"/>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contingent value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derivative liabilities – contingent value rights is classified as short term on the Company’s condensed consolidated balance sheets according to the estimated timing of the occurrence of the potential payments.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applies a scenario-based method and weighs them based on the possible likelihood of certain contingencies triggering payments due under the contingent value right (“CVR”) for the liability recognized. The fair value measurements are based on significant inputs not observable in the market and thus represent a Level 3 measurement as defined in ASC 820, </w:t>
      </w:r>
      <w:r>
        <w:rPr>
          <w:rFonts w:ascii="Times New Roman" w:hAnsi="Times New Roman"/>
          <w:i/>
          <w:color w:val="000000"/>
          <w:sz w:val="20"/>
        </w:rPr>
        <w:t>Fair Value Measurement</w:t>
      </w:r>
      <w:r>
        <w:rPr>
          <w:rFonts w:ascii="Times New Roman" w:hAnsi="Times New Roman"/>
          <w:color w:val="000000"/>
          <w:sz w:val="20"/>
        </w:rPr>
        <w:t>. The estimated value of the CVR is based upon available information and certain assumptions, which the Company’s management believes are reasonable under the circumstances. In January 2026, the Company paid out approximately $2.0 million to holders of CVRs in accordance with the CVR Agreement entered into immediately prior to closing of the Merger on December 13, 2024. As of June 30, 2026, the fair value adjustment for the CVR is driven from foreign currency translation. The change in fair value has been recorded in fair value adjustments on derivative liabilities - contingent value right liability on the condensed consolidated statement of operations.</w:t>
      </w:r>
    </w:p>
    <w:p>
      <w:pPr>
        <w:pStyle w:val="TextBody"/>
        <w:bidi w:val="0"/>
        <w:jc w:val="left"/>
        <w:rPr>
          <w:rFonts w:ascii="Times New Roman" w:hAnsi="Times New Roman"/>
          <w:b/>
          <w:color w:val="000000"/>
          <w:sz w:val="20"/>
        </w:rPr>
      </w:pPr>
      <w:r>
        <w:rPr>
          <w:rFonts w:ascii="Times New Roman" w:hAnsi="Times New Roman"/>
          <w:b/>
          <w:color w:val="000000"/>
          <w:sz w:val="20"/>
        </w:rPr>
        <w:t>Note 4. Strategic Agreements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Ligand Development Funding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is party to a Development Funding and Royalties Agreement with Ligand Pharmaceuticals, Inc. (“Ligand”), dated December 13, 2018, as amended May 22, 2020 and November 28, 2023 (the “Ligand Agreement”). Under the Ligand Agreement, Ligand has made payments totaling $15.0 million to fund the development of QTORIN rapamycin. As partial consideration for the funding received, the Company granted Ligand the right to receive up to $8.0 million in milestone payments upon the achievement of certain corporate, financing and regulatory milestones by the Company related to QTORIN rapamycin for the treatment of any and all indications. In addition, the Company is currently obligated to pay to Ligand tiered royalties ranging from 8.0% to 9.8% of any aggregate annual worldwide net product sales of any products based on QTORIN rapamycin. On a licensed product-by-licensed product and country-by-country basis, the royalty period is from the date of first commercial sale of such licensed product in a country until the latest of (i) the expiration of the last valid claim within the licensed patent rights covering such licensed product in the country in which such licensed product is made, used or sold, (ii) the expiration of the regulatory exclusivity term conferred by the applicable regulatory authority in such country with respect to such licensed product, and (iii) the fifteenth anniversary of the first commercial sale of such licensed product in such country.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Ligand Agreement may be terminated by the earlier of a mutual written agreement of the parties or when the royalties contemplated by the agreement are paid to Ligand. Additionally, Ligand may terminate the agreement for (i) any or no reason upon a 90-day notice to the Company, or (ii) cause in connection with a material breach that the Company does not cure within a certain period of time.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total amount of potential future milestone payments remaining under the arrangement was $5.0 million as of June 30, 2026. The potential future milestone payments represent derivative liabilities with a fair value of $2.3 million and $2.0 million as of June 30, 2026 and December 31, 2025, respectively, which are classified as “derivative liabilities – royalty agreement” on the accompanying condensed consolidated balance sheets. See Note 3 for fair value measurements.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obligation to pay tiered royalties under the Ligand Agreement was determined to be a debt instrument based on the likelihood of repaying the amounts provided to fund the development of QTORIN rapamycin and that the Company has significant continuing involvement in the generation of the cash flows potentially due to Ligand. This obligation is reflected as royalty agreement liability which is classified as a long-term liability on the accompanying condensed consolidated balance sheets and was $22.1 million and $17.8 million as of June 30, 2026 and December 31, 2025, respectively. Interest expense with respect to the royalty agreement liability is determined using the effective interest method based upon probability-adjusted cash flow estimates of the Company’s potential future royalty payments under the Ligand Agreement, yielding an effective interest rate of 45.1% and 44.9% as of June 30, 2026 and December 31, 2025, respectively. Changes in these estimates impact the amount of interest expense recognized through the accompanying condensed consolidated statements of operations. The Company incurred non-cash interest expense of $2.3 million and $1.4 million for the three months ended June 30, 2026 and 2025, respectively, and $4.3 million and $2.6 million for the six months ended June 30, 2026 and 2025, respectively, all of which is a component of the royalty agreement liability on the accompanying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 Ligand Agreement requires the Company to make certain estimates and assumptions about future development, FDA approval, commercialization, and net sales of any product containing QTORIN rapamycin. These estimates and assumptions are subject to significant variability and are thus subject to significant uncertainty. Therefore, these estimates and assumptions are likely to change as the Company develops and commercializes products containing QTORIN rapamycin. This may result in significant future adjustments to the royalty agreement liability, the derivative liabilities, and the accretion of interest expense.</w:t>
      </w:r>
    </w:p>
    <w:p>
      <w:pPr>
        <w:pStyle w:val="TextBody"/>
        <w:bidi w:val="0"/>
        <w:jc w:val="left"/>
        <w:rPr>
          <w:rFonts w:ascii="Times New Roman" w:hAnsi="Times New Roman"/>
          <w:b/>
          <w:color w:val="000000"/>
          <w:sz w:val="20"/>
        </w:rPr>
      </w:pPr>
      <w:r>
        <w:rPr>
          <w:rFonts w:ascii="Times New Roman" w:hAnsi="Times New Roman"/>
          <w:b/>
          <w:color w:val="000000"/>
          <w:sz w:val="20"/>
        </w:rPr>
        <w:t>Note 5. Accrued Expenses and Other Current Liabilities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00"/>
        <w:jc w:val="both"/>
        <w:rPr>
          <w:rFonts w:ascii="Times New Roman" w:hAnsi="Times New Roman"/>
          <w:b/>
          <w:color w:val="000000"/>
          <w:sz w:val="20"/>
        </w:rPr>
      </w:pPr>
      <w:r>
        <w:rPr>
          <w:rFonts w:ascii="Times New Roman" w:hAnsi="Times New Roman"/>
          <w:b/>
          <w:color w:val="000000"/>
          <w:sz w:val="20"/>
        </w:rPr>
        <w:t>Note 6. Stockholders’ Equity</w:t>
      </w:r>
    </w:p>
    <w:p>
      <w:pPr>
        <w:pStyle w:val="TextBody"/>
        <w:bidi w:val="0"/>
        <w:spacing w:before="0" w:after="200"/>
        <w:jc w:val="left"/>
        <w:rPr>
          <w:rFonts w:ascii="Times New Roman" w:hAnsi="Times New Roman"/>
          <w:b/>
          <w:color w:val="252525"/>
          <w:sz w:val="20"/>
        </w:rPr>
      </w:pPr>
      <w:r>
        <w:rPr>
          <w:rFonts w:ascii="Times New Roman" w:hAnsi="Times New Roman"/>
          <w:b/>
          <w:color w:val="252525"/>
          <w:sz w:val="20"/>
        </w:rPr>
        <w:t>Authorized Capital</w:t>
      </w:r>
    </w:p>
    <w:p>
      <w:pPr>
        <w:pStyle w:val="TextBody"/>
        <w:bidi w:val="0"/>
        <w:spacing w:before="0" w:after="200"/>
        <w:jc w:val="both"/>
        <w:rPr>
          <w:rFonts w:ascii="Times New Roman" w:hAnsi="Times New Roman"/>
          <w:sz w:val="20"/>
        </w:rPr>
      </w:pPr>
      <w:r>
        <w:rPr>
          <w:rFonts w:ascii="Times New Roman" w:hAnsi="Times New Roman"/>
          <w:color w:val="252525"/>
          <w:sz w:val="20"/>
        </w:rPr>
        <w:t xml:space="preserve">Upon closing of the Reverse Merger, pursuant to the terms of the </w:t>
      </w:r>
      <w:r>
        <w:rPr>
          <w:rFonts w:ascii="Times New Roman" w:hAnsi="Times New Roman"/>
          <w:color w:val="212529"/>
          <w:sz w:val="20"/>
        </w:rPr>
        <w:t>Amendment to the Company’s Amended and Restated Articles of Incorporation with the Nevada Secretary of State, the</w:t>
      </w:r>
      <w:r>
        <w:rPr>
          <w:rFonts w:ascii="Times New Roman" w:hAnsi="Times New Roman"/>
          <w:color w:val="252525"/>
          <w:sz w:val="20"/>
        </w:rPr>
        <w:t xml:space="preserve"> Company was authorized to issue up to 200,000,000 shares of common stock, par value $0.001 per share (“Common Stock”). As </w:t>
      </w:r>
      <w:r>
        <w:rPr>
          <w:rFonts w:ascii="Times New Roman" w:hAnsi="Times New Roman"/>
          <w:color w:val="000000"/>
          <w:sz w:val="20"/>
        </w:rPr>
        <w:t xml:space="preserve">of June 30, 2026 and December 31, 2025, 14,395,705 and 12,380,933 shares of Common Stock were issued and outstanding,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is authorized to issue up to 10,000,000 shares of preferred stock, par value $0.001 per share (“Preferred Stock”). As of December 31, 2025, BVF has fully converted its shares of Preferred Stock to shares of Common Stock and no shares of Preferred Stock were outstanding as of June 30, 2026.</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Common Stock, Preferred Stock, and Pre-Funded Warrants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Each share of Common Stock is entitled to one vote and all shares rank equally as to voting and other matters. Dividends may be declared and paid on the Common Stock from funds legally available therefore, if, as and when determined by the Board of Directors.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pre-funded warrants outstanding to purchase an aggregate of 1,394,761 shares of Common Stock as of June 30, 2026 and December 31, 2025. The pre-funded warrants are exercisable at any time for an exercise price of $0.001, except that the pre-funded warrants cannot be exercised by the holders if, after giving effect thereto, the holders would beneficially own more than 9.99% or 4.99% of the outstanding Common Stock, depending on the investor and subject to certain exceptions. However, any holder may increase or decrease such percentage to any other percentage (not in excess of 19.99%) upon at least 61 days’ prior notice from the holder to the Company. The holders of the pre-funded warrants will not have the right to vote the shares underlying the pre-funded warrants on any matter except to the extent required by Delaware law. These warrants were classified as equity.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Prior to the Reverse Merger, Legacy Pieris had issued multiple series (Series A through E) of Preferred Stock to certain entities affiliated with Biotechnology Value Fund, L.P. (“BVF”). In each case, each share Preferred Stock is convertible into 13.34 shares of Common Stock (subject to adjustment as provided in the Certificate of Designation for each series) at any time at the option of the holder, provided that the holder is prohibited from converting the Preferred Stock into shares of Common Stock if, as a result of such conversion, the holder, together with its affiliates, would own more than 9.99% of the total number of shares of Common Stock then issued and outstanding, or the Beneficial Ownership Limitation. The holder may reset the Beneficial Ownership Limitation to a higher or lower number, not to exceed 19.99% of the total number of common shares issued and outstanding immediately after giving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effect to a conversion, upon providing written notice to the Company. Any such notice providing for an increase to the Beneficial Ownership Limitation will be effective 61 days after delivery to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Series A, Series B, Series C, Series D and Series E Preferred Stock rank senior to Common Stock; senior to any class or series of capital stock of the Company created after the designation of and specifically ranking by its terms as junior to the five series of Preferred Stock; in parity with each other and with any class or series of capital stock of the Company created after the designation of and specifically ranking by its terms as in parity with the existing five series of Preferred Stock; and junior to any class or series of capital stock of the Company created after the designation of and specifically ranking by its terms as senior to the existing five series of Preferred Stock. In the event of the Company’s liquidation, dissolution or winding up, subject to the rights of holders of Preferred Stock, holders are entitled to receive a payment equal to $0.001 per share of Preferred Stock pursuant to the rights and preferences discussed above, plus an additional amount equal to any dividends declared but unpaid on such shares. However, if the assets of the Company are insufficient to comply with the preceding sentence, then all remaining assets of the Company shall be distributed ratably to holders of the shares of the existing five series of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each series of Preferred Stock, the Company designated the requisite number of shares of its authorized and unissued preferred stock as a specific series of Preferred Stock and filed a Certificate of Designation with the Nevada Secretary of State.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Preferred Stock generally have no voting rights, except as required by law and except that the consent of holders of a majority of the then outstanding Preferred Stock is required to amend the terms of the Certificate of Designation for each respective series of Preferred Stock. Holders of Preferred Stock are entitled to receive any dividends payable to holders of the Company’s common stock subject to the rights and preferences discussed above, in each case, as to distributions of assets upon the Company’s liquidation, dissolution or winding up whether voluntarily or involuntarily and/or the right to receive dividends.</w:t>
      </w:r>
    </w:p>
    <w:p>
      <w:pPr>
        <w:pStyle w:val="TextBody"/>
        <w:bidi w:val="0"/>
        <w:spacing w:before="0" w:after="200"/>
        <w:jc w:val="both"/>
        <w:rPr>
          <w:rFonts w:ascii="Times New Roman" w:hAnsi="Times New Roman"/>
          <w:sz w:val="20"/>
        </w:rPr>
      </w:pPr>
      <w:r>
        <w:rPr>
          <w:rFonts w:ascii="Times New Roman" w:hAnsi="Times New Roman"/>
          <w:b/>
          <w:color w:val="000000"/>
          <w:sz w:val="20"/>
        </w:rPr>
        <w:t>Equity Financing</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February 25, 2026, the Company entered into an underwriting agreement (the “Underwriting Agreement”) with TD Securities (USA) LLC, Cantor Fitzgerald &amp; Co. and Stifel, Nicolaus &amp; Company, Incorporated, as representatives of the several underwriters named therein (collectively, the “Underwriters”), relating to an underwritten public offering of 1,600,000 shares of its Common Stock, at a price to the public of $125.00 per share. Under the terms of the Underwriting Agreement, the Company granted the underwriters an option to purchase up to an additional 240,000 shares of Common Stock at the same price. The option was exercised in full and the offering closed on February 27,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offering resulted in net proceeds of $215.8 million, after deducting underwriting discounts and commissions and other offering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7. Equity Incentive Plans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connection with the Reverse Merger, the Company stockholders approved the 2024 Equity Incentive Plan (the “2024 Plan”) on December 13, 2024. The 2024 Plan provides for the grant of incentive stock options, nonqualified stock options, and stock awards, any of which may be performance-based, and for incentive bonuses, which may be paid in cash, Common Stock or a combination thereof.</w:t>
      </w:r>
    </w:p>
    <w:p>
      <w:pPr>
        <w:pStyle w:val="TextBody"/>
        <w:bidi w:val="0"/>
        <w:jc w:val="left"/>
        <w:rPr>
          <w:rFonts w:ascii="Times New Roman" w:hAnsi="Times New Roman"/>
          <w:color w:val="000000"/>
          <w:sz w:val="20"/>
        </w:rPr>
      </w:pPr>
      <w:r>
        <w:rPr>
          <w:rFonts w:ascii="Times New Roman" w:hAnsi="Times New Roman"/>
          <w:color w:val="000000"/>
          <w:sz w:val="20"/>
        </w:rPr>
        <w:t>On June 10, 2026, the Company stockholders approved Amendment No. 1 to the 2024 Plan, which increased the number of shares reserved for issuance under the 2024 Plan by 750,000 shares. Accordingly, the number of shares reserved for issuance under the 2024 Plan is equal to 4,205,433 shares of Common Stock as of June 30, 2026.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2,794,172 options were outstanding under the 2024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Reverse Merger, all of the options outstanding under the Company’s 2019 Equity Incentive Plan (the “2019 Plan”) were adjusted with respect to the number of shares and exercise price to reflect the Exchange Ratio. As of June 30, 2026, 477,811 shares of Common Stock were outstanding under the 2019 Plan and no further grants will be made under the 2019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incentive stock options and non-statutory stock options, the option exercise price may not be less than 100% of the estimated fair value on the date of grant. Options granted to employees typically vest over a four-year period but may be granted with different vesting terms. The options expire ten years from the grant date.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stock option activity for the Company’s equity incentive plans for the six months ended June 30, 2026:</w:t>
      </w:r>
    </w:p>
    <w:tbl>
      <w:tblPr>
        <w:tblW w:w="7261" w:type="dxa"/>
        <w:jc w:val="left"/>
        <w:tblInd w:w="0" w:type="dxa"/>
        <w:tblLayout w:type="fixed"/>
        <w:tblCellMar>
          <w:top w:w="28" w:type="dxa"/>
          <w:left w:w="28" w:type="dxa"/>
          <w:bottom w:w="28" w:type="dxa"/>
          <w:right w:w="28" w:type="dxa"/>
        </w:tblCellMar>
      </w:tblPr>
      <w:tblGrid>
        <w:gridCol w:w="3031"/>
        <w:gridCol w:w="146"/>
        <w:gridCol w:w="146"/>
        <w:gridCol w:w="931"/>
        <w:gridCol w:w="166"/>
        <w:gridCol w:w="146"/>
        <w:gridCol w:w="211"/>
        <w:gridCol w:w="676"/>
        <w:gridCol w:w="146"/>
        <w:gridCol w:w="146"/>
        <w:gridCol w:w="322"/>
        <w:gridCol w:w="803"/>
        <w:gridCol w:w="3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212529"/>
          <w:sz w:val="20"/>
        </w:rPr>
      </w:pPr>
      <w:r>
        <w:rPr>
          <w:rFonts w:ascii="Times New Roman" w:hAnsi="Times New Roman"/>
          <w:color w:val="212529"/>
          <w:sz w:val="20"/>
        </w:rPr>
        <w:t>The aggregate intrinsic value of options outstanding and options exercisable as of June 30, 2026 was $396.8 million and $155.8 million, respectively.</w:t>
      </w:r>
    </w:p>
    <w:p>
      <w:pPr>
        <w:pStyle w:val="TextBody"/>
        <w:bidi w:val="0"/>
        <w:spacing w:before="0" w:after="200"/>
        <w:jc w:val="left"/>
        <w:rPr>
          <w:rFonts w:ascii="Times New Roman" w:hAnsi="Times New Roman"/>
          <w:sz w:val="20"/>
        </w:rPr>
      </w:pPr>
      <w:r>
        <w:rPr>
          <w:rFonts w:ascii="Times New Roman" w:hAnsi="Times New Roman"/>
          <w:color w:val="212529"/>
          <w:sz w:val="20"/>
        </w:rPr>
        <w:t>Total stock-based compensation expense recognized in the condensed consolidated statements of operations for the three and six months ended June 30, 2026 and 2025 is as follows (in thousands):</w:t>
      </w:r>
      <w:r>
        <w:rPr>
          <w:rFonts w:ascii="Times New Roman" w:hAnsi="Times New Roman"/>
          <w:color w:val="000000"/>
          <w:sz w:val="20"/>
        </w:rPr>
        <w:t xml:space="preserve"> </w:t>
      </w:r>
    </w:p>
    <w:tbl>
      <w:tblPr>
        <w:tblW w:w="7992" w:type="dxa"/>
        <w:jc w:val="left"/>
        <w:tblInd w:w="0" w:type="dxa"/>
        <w:tblLayout w:type="fixed"/>
        <w:tblCellMar>
          <w:top w:w="28" w:type="dxa"/>
          <w:left w:w="28" w:type="dxa"/>
          <w:bottom w:w="28" w:type="dxa"/>
          <w:right w:w="28" w:type="dxa"/>
        </w:tblCellMar>
      </w:tblPr>
      <w:tblGrid>
        <w:gridCol w:w="3551"/>
        <w:gridCol w:w="146"/>
        <w:gridCol w:w="211"/>
        <w:gridCol w:w="571"/>
        <w:gridCol w:w="146"/>
        <w:gridCol w:w="146"/>
        <w:gridCol w:w="211"/>
        <w:gridCol w:w="571"/>
        <w:gridCol w:w="146"/>
        <w:gridCol w:w="146"/>
        <w:gridCol w:w="211"/>
        <w:gridCol w:w="571"/>
        <w:gridCol w:w="146"/>
        <w:gridCol w:w="146"/>
        <w:gridCol w:w="211"/>
        <w:gridCol w:w="57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there was approximately $55.2 million of unrecognized compensation cost related to non-vested stock options, which is expected to be recognized over a remaining weighted-average service period of 2.75 years.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weighted average fair value of stock options granted during the six months ended June 30, 2026 was $60.61 per share which was estimated using the Black-Scholes option pricing model with the following weighted average assumptions:</w:t>
      </w:r>
    </w:p>
    <w:tbl>
      <w:tblPr>
        <w:tblW w:w="3983" w:type="dxa"/>
        <w:jc w:val="left"/>
        <w:tblInd w:w="0" w:type="dxa"/>
        <w:tblLayout w:type="fixed"/>
        <w:tblCellMar>
          <w:top w:w="28" w:type="dxa"/>
          <w:left w:w="28" w:type="dxa"/>
          <w:bottom w:w="28" w:type="dxa"/>
          <w:right w:w="28" w:type="dxa"/>
        </w:tblCellMar>
      </w:tblPr>
      <w:tblGrid>
        <w:gridCol w:w="2131"/>
        <w:gridCol w:w="146"/>
        <w:gridCol w:w="449"/>
        <w:gridCol w:w="1066"/>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 - 76.17%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 - 4.36%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Performance Stock Unit and Restricted Stock Unit Activity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grants time-based restricted stock unit (“RSU”) awards and performance-based restricted stock unit (“PSU”) awards to certain employees. RSU awards vest over a four-year period subject to the employee’s continued employment or service with the Company through the vesting date. PSU awards have a performance period of one year and vest depending on the Company’s achievement of predetermined performance goals. For the three and six months ended June 30, 2026, the Company recorded $0.8 million and $5 thousand of stock compensation expense for PSUs and RSUs, respectively, included in general and administrative expense in the statement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activities related to the Company’s unvested RSUs and PSUs: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7462" w:type="dxa"/>
        <w:jc w:val="left"/>
        <w:tblInd w:w="0" w:type="dxa"/>
        <w:tblLayout w:type="fixed"/>
        <w:tblCellMar>
          <w:top w:w="28" w:type="dxa"/>
          <w:left w:w="28" w:type="dxa"/>
          <w:bottom w:w="28" w:type="dxa"/>
          <w:right w:w="28" w:type="dxa"/>
        </w:tblCellMar>
      </w:tblPr>
      <w:tblGrid>
        <w:gridCol w:w="4846"/>
        <w:gridCol w:w="146"/>
        <w:gridCol w:w="146"/>
        <w:gridCol w:w="676"/>
        <w:gridCol w:w="166"/>
        <w:gridCol w:w="146"/>
        <w:gridCol w:w="225"/>
        <w:gridCol w:w="720"/>
        <w:gridCol w:w="3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PSU and RSU Grants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PSUs Released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PSU and RSU Grants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Amount includes 3,250 PSU awards (2,293 shares, net of employee tax withholdings, paid in shares) that vested based on the achievement of performance goals during the performance period ended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8. Commitments and Contingencies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From time to time, the Company may face legal claims or actions in the normal course of business. The Company is not currently subject to any material legal proceedings.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Note 9. Segment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is comprised of one reportable segment, the Company operations. As of June 30, 2026, the Company operations segment has not generated any product revenue since inception, as it does not yet have approved products for sale. However, the Company operations segment anticipates future revenue generation upon the successful development and commercialization of product candidates either independently or through partnerships.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expects to primarily generate revenue in North America, with its long-lived assets also concentrated in this region, and manages its business activities on a consolidated basis. Decisions concerning the allocation of the Company’s resources are made by the Company’s CODM, which is the Company’s CEO. The CODM views the Company’s operations as a single operating segment which is the business of discovering and developing products for individuals with serious and rare skin diseases.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Company’s significant segment expenses that are regularly provided to the CODM are related to: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i/>
          <w:color w:val="000000"/>
          <w:sz w:val="20"/>
        </w:rPr>
        <w:t>Research and Development Expenses</w:t>
      </w:r>
      <w:r>
        <w:rPr>
          <w:rFonts w:ascii="Times New Roman" w:hAnsi="Times New Roman"/>
          <w:color w:val="000000"/>
          <w:sz w:val="20"/>
        </w:rPr>
        <w:t>: These expenses include costs incurred in conducting research and development activities for the specific clinical trials including facilities costs, license fee and other costs incurred in connection with preclinical research and development activities. Research and development also encompass non-program specific costs such as salaries and stock-based compensation costs, third party consulting fees, and other related costs.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General and Administrative Expenses</w:t>
      </w:r>
      <w:r>
        <w:rPr>
          <w:rFonts w:ascii="Times New Roman" w:hAnsi="Times New Roman"/>
          <w:color w:val="000000"/>
          <w:sz w:val="20"/>
        </w:rPr>
        <w:t xml:space="preserve">: These expenses include costs associated with the overall administration and management of the Company, including salaries and benefits for administrative personnel, professional service fees (e.g., accounting and legal services) and other office expenses.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CODM assesses performance for the Company operations segment and decides how to allocate resources based on net income or loss that is also reported on the income statement as consolidated net income or loss and the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of segment assets as reported on the balance sheet as total consolidated assets. Net income or loss is used to monitor budget versus actual results as well as to assess the general performance of the segment in a given period.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following table reconciles segment direct profit or loss to the Company’s consolidated results: </w:t>
      </w:r>
    </w:p>
    <w:tbl>
      <w:tblPr>
        <w:tblW w:w="10205" w:type="dxa"/>
        <w:jc w:val="left"/>
        <w:tblInd w:w="0" w:type="dxa"/>
        <w:tblLayout w:type="fixed"/>
        <w:tblCellMar>
          <w:top w:w="28" w:type="dxa"/>
          <w:left w:w="28" w:type="dxa"/>
          <w:bottom w:w="28" w:type="dxa"/>
          <w:right w:w="28" w:type="dxa"/>
        </w:tblCellMar>
      </w:tblPr>
      <w:tblGrid>
        <w:gridCol w:w="5195"/>
        <w:gridCol w:w="211"/>
        <w:gridCol w:w="736"/>
        <w:gridCol w:w="166"/>
        <w:gridCol w:w="146"/>
        <w:gridCol w:w="211"/>
        <w:gridCol w:w="631"/>
        <w:gridCol w:w="166"/>
        <w:gridCol w:w="146"/>
        <w:gridCol w:w="211"/>
        <w:gridCol w:w="736"/>
        <w:gridCol w:w="166"/>
        <w:gridCol w:w="146"/>
        <w:gridCol w:w="211"/>
        <w:gridCol w:w="736"/>
        <w:gridCol w:w="391"/>
      </w:tblGrid>
      <w:tr>
        <w:trPr/>
        <w:tc>
          <w:tcPr>
            <w:tcW w:w="5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QTORIN CMC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QTORIN rapamycin for microcystic LM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QTORIN rapamycin for angiokeratomas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QTORIN rapamycin for cutaneous VM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QTORIN rapamycin for microcystic LM - Government grant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Non-program specific and unallocated research and development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Salaries and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Consultants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Salaries and 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Consultants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10. Subsequent Events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Subsequent events have been evaluated through August 4, 2026, which is the date the accompanying condensed consolidated financial statements were issued.</w:t>
      </w:r>
    </w:p>
    <w:p>
      <w:pPr>
        <w:pStyle w:val="TextBody"/>
        <w:bidi w:val="0"/>
        <w:jc w:val="left"/>
        <w:rPr/>
      </w:pPr>
      <w:r>
        <w:rPr/>
        <w:t> </w:t>
      </w:r>
    </w:p>
    <w:p>
      <w:pPr>
        <w:pStyle w:val="TextBody"/>
        <w:bidi w:val="0"/>
        <w:spacing w:before="20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b/>
          <w:color w:val="000000"/>
          <w:sz w:val="22"/>
        </w:rPr>
      </w:pPr>
      <w:bookmarkStart w:id="10" w:name="item_2_managements_discussion_and_analys"/>
      <w:bookmarkEnd w:id="10"/>
      <w:r>
        <w:rPr>
          <w:rFonts w:ascii="Times New Roman" w:hAnsi="Times New Roman"/>
          <w:b/>
          <w:color w:val="000000"/>
          <w:sz w:val="22"/>
        </w:rPr>
        <w:t>Item 2. Management’s Discussion and Analysis of Financial Condition and Results of Operations.</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accompanying notes included in Part I, Item 1 of this Quarterly Report on Form 10-Q and our consolidated audited financial statements and accompanying notes thereto included in our 2025 Form 10-K filed with the Securities and Exchange Commission on March 31, 2026, as well as the information contained under the heading “Management’s Discussion and Analysis of Financial Condition and Results of Operations” in our 2025 Form 10-K.</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In addition to historical information, this discussion and analysis includes forward-looking statements that are subject to risks and uncertainties, including those discussed in the section titled “Risk Factors,” set forth in Part I, Item 1A of our 2025 Form 10-K, that could cause actual results to differ materially from historical or anticipated results.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Unless otherwise indicated or the context otherwise requires, references in this “Management’s Discussion and Analysis of Financial Condition and Results of Operations” section to “the Company,” “we,” “us,” and “our” refer to the business and operations of Palvella Therapeutics, Inc., a Delaware corporation (referred to as “Legacy Palvella”) prior to the Merger, and the business and operations of Palvella Therapeutics, Inc., a Nevada Corporation (previously Pieris Pharmaceuticals, Inc., referred to as “Pieris”) and its consolidated subsidiaries following the Merger.</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a clinical-stage biopharmaceutical company whose vision is to become the leading rare disease biopharmaceutical company focused on developing and, if approved, commercializing novel therapies to treat patients suffering from serious, rare skin diseases and vascular malformations for which there are no FDA-approved therapies. We envision a future treatment paradigm in which individuals suffering from serious, rare skin diseases and vascular malformations, and the physicians treating those diseases, have significantly improved treatment options which address the underlying causes of those diseases. We intend to leverage our versatile QTORIN platform to minimize the challenges and timelines typically associated with generating novel topical product candidates that penetrate the deep layers of the skin to locally treat a broad spectrum of rare skin diseases and vascular malformations. Our lead product candidate, QTORIN 3.9% rapamycin anhydrous gel (“QTORIN rapamycin”), is currently in clinical development for microcystic lymphatic malformations (“microcystic LMs”), cutaneous venous malformations (“cutaneous VMs”), and clinically significant angiokeratomas. QTORIN rapamycin contains the active pharmaceutical ingredient (“API”) rapamycin, also known as sirolimus, which is an inhibitor of mTOR, a kinase that has been known to play a key role in cell growth and proliferation. We introduced a new QTORIN product candidate, QTORIN pitavastatin, for the treatment of disseminated superficial actinic porokeratosis (“DSAP”), which leverages our proprietary QTORIN platform and is designed to be the first pathogenesis-directed therapy for DSAP.</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announced positive topline results for two clinical trials: (i) SELVA, a Phase 3, single-arm, baseline-controlled study evaluating the safety and efficacy of QTORIN rapamycin for the treatment of microcystic LMs in patients 3 years and older and (ii) TOIVA, a Phase 2, single-arm, open-label, baseline-controlled study evaluating the safety and efficacy of QTORIN rapamycin for the treatment of cutaneous VMs in patients 6 years and older. We also have preclinical research programs based on our QTORIN platform for the treatment of serious, rare skin diseases for which we believe there are significant unmet needs. As we work to expand our pipeline into additional rare skin diseases, we plan to generate new product candidates based on our QTORIN platform.</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April 2026, we dosed our first patients in the Phase 2 LOTU trial, a baseline-controlled clinical study of QTORIN rapamycin administered topically once daily for the treatment of clinically significant angiokeratomas. Topline results are expected in the second half of 2027.</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April 2026, we announced the appointment of John D. Doux, M.D., M.B.A. to the Board of Directors.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April 2026, we submitted an application to the FDA for Breakthrough Therapy Designation for our cutaneous venous malformation program. Following the FDA’s recent decision in July 2026 to not grant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200"/>
        <w:jc w:val="both"/>
        <w:rPr/>
      </w:pPr>
      <w:r>
        <w:rPr>
          <w:rFonts w:ascii="Times New Roman" w:hAnsi="Times New Roman"/>
          <w:color w:val="000000"/>
          <w:sz w:val="20"/>
        </w:rPr>
        <w:t>designation at this time, we are currently planning a resubmission incorporating TOIVA patient interview transcripts and new 24-week data.</w:t>
      </w:r>
      <w:r>
        <w:rPr>
          <w:color w:val="000000"/>
        </w:rPr>
        <w:t xml:space="preserve">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2026, at the 83rd Annual Meeting of the Society for Investigative Dermatology (“SID”), we presented new data from our Phase 2 TOIVA trial of QTORIN rapamycin for the treatment of cutaneous VMs demonstrating 100% of patients with bleeding at baseline demonstrated improvement on the Cutaneous Venous Malformations Investigator Global Assessment Bleeding scale (“cVM-IGA Bleeding”) at Week 12.</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2026, additional clinical data from our Phase 3 SELVA and Phase 2 TOIVA studies was presented by James Treat, MD at the International Society for the Study of Vascular Anomalies (“ISSVA”) World Congress 2026, which demonstrated that QTORIN rapamycin produced clinical improvements across multiple efficacy measures in patients with microcystic lymphatic malformations and cutaneous VMs.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2026, a patent that we exclusively licensed from Yale University was granted by the United States Patent and Trademark Office, further supporting the QTORIN pitavastatin program for porokeratosis.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May 2026, we completed a pre-NDA meeting with the FDA. The pre-NDA meeting addressed nonclinical, clinical pharmacology, and clinical information for the planned NDA and included an in-person discussion with FDA and receipt of official meeting minutes.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June 2026, the FDA granted rolling review of our NDA for QTORIN rapamycin for the treatment of microcystic LMs. Rolling review is an FDA regulatory feature available to programs with Fast Track or Breakthrough Therapy designation and is intended to facilitate expedited FDA review of applications for therapies addressing serious conditions with unmet medical need.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June 2026, we submitted the first module of our rolling NDA. We remain on track to submit the remaining modules and complete the NDA submission in the second half of 2026.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June 2026, we announced the appointment of Matthew Pauls, J.D., M.B.A. to the Board of Directors.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Our Novel Product Candidate: QTORIN rapamycin</w:t>
      </w:r>
    </w:p>
    <w:p>
      <w:pPr>
        <w:pStyle w:val="TextBody"/>
        <w:bidi w:val="0"/>
        <w:spacing w:before="0" w:after="200"/>
        <w:jc w:val="left"/>
        <w:rPr>
          <w:rFonts w:ascii="Times New Roman" w:hAnsi="Times New Roman"/>
          <w:b/>
          <w:i/>
          <w:color w:val="1B1B32"/>
          <w:sz w:val="20"/>
        </w:rPr>
      </w:pPr>
      <w:r>
        <w:rPr>
          <w:rFonts w:ascii="Times New Roman" w:hAnsi="Times New Roman"/>
          <w:b/>
          <w:i/>
          <w:color w:val="1B1B32"/>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We are developing QTORIN rapamycin, a novel, 3.9% anhydrous topical gel formulation containing rapamycin, for the treatment of microcystic LMs, cutaneous VMs, clinically significant angiokeratomas and other mTOR-driven skin diseases. If approved, we believe QTORIN rapamycin has the potential to become the first line therapy and the standard of care in each of these diseases.</w:t>
      </w:r>
    </w:p>
    <w:p>
      <w:pPr>
        <w:pStyle w:val="TextBody"/>
        <w:bidi w:val="0"/>
        <w:spacing w:before="200" w:after="200"/>
        <w:jc w:val="left"/>
        <w:rPr>
          <w:rFonts w:ascii="Times New Roman" w:hAnsi="Times New Roman"/>
          <w:b/>
          <w:i/>
          <w:color w:val="1B1B32"/>
          <w:sz w:val="20"/>
        </w:rPr>
      </w:pPr>
      <w:r>
        <w:rPr>
          <w:rFonts w:ascii="Times New Roman" w:hAnsi="Times New Roman"/>
          <w:b/>
          <w:i/>
          <w:color w:val="1B1B32"/>
          <w:sz w:val="20"/>
        </w:rPr>
        <w:t>QTORIN rapamycin for the treatment of microcystic LMs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Microcystic LM is a serious, chronically debilitating, and lifelong genetic disease of the lymphatic system characterized by lymphorrhea and acute cellulitis. It is estimated that there are more than 30,000 diagnosed patients in the United States with microcystic LMs. The specific pathophysiology of microcystic LMs is primarily the result of somatic activating mutations in PIK3CA that result in increased activation of the PI3K/mTOR pathway and subsequent lymphatic hyperplasia. Because microcystic LMs have a well-understood pathophysiology and a well-defined disease course, we believe an appropriate clinical study for this rare disease is a baseline-controlled Phase 3 study using clinician assessments.</w:t>
      </w:r>
    </w:p>
    <w:p>
      <w:pPr>
        <w:pStyle w:val="TextBody"/>
        <w:bidi w:val="0"/>
        <w:jc w:val="both"/>
        <w:rPr>
          <w:rFonts w:ascii="Times New Roman" w:hAnsi="Times New Roman"/>
          <w:color w:val="000000"/>
          <w:sz w:val="20"/>
        </w:rPr>
      </w:pPr>
      <w:r>
        <w:rPr>
          <w:rFonts w:ascii="Times New Roman" w:hAnsi="Times New Roman"/>
          <w:color w:val="000000"/>
          <w:sz w:val="20"/>
        </w:rPr>
        <w:t>We recently completed SELVA, a Phase 3, single-arm, baseline-controlled clinical trial evaluating once-daily QTORIN rapamycin in individuals aged ≥ 3 years with microcystic LMs and announced positive topline results. Of the 51 participants enrolled, 50 initiated treatment, including 49 participants aged ≥ 6 years and 1 participant in the exploratory 3- to 5-year-old cohort. In accordance with the statistical analysis plan, efficacy results were reported for participants aged ≥ 6 years, which constituted the Intent-to-Treat (“ITT”) population. The study was originally designed to enroll 40 participants across leading U.S. vascular anomaly centers and exceeded its target enrollment.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primary endpoint, the microcystic lymphatic malformation Investigator Global Assessment (“mLM-IGA”), is a 7-point clinician-assessed dynamic scale measuring change in disease severity from baseline ranging from “Very Much Worse” (-3) to “Very Much Improved” (+3). On the mLM-IGA in the ITT population (n=49), QTORIN rapamycin demonstrated a mean improvement of +2.13 points, meeting the study’s primary endpoint (p&lt;0.001). Of the participants aged ≥ 6 who completed the efficacy evaluation period, 95% (41/43) demonstrated at least a 1-point improvement, and 86% (37/43) were either “Much Improved” (+2) or “Very Much Improved” (+3). In the 3- to 5-year-old cohort, one participant enrolled and was “Very Much Improved” (+3) on the mLM-IGA at Week 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Similar to previous clinical trials of QTORIN rapamycin, in the Phase 3 SELVA study, QTORIN rapamycin was well-tolerated. Amongst the 50 participants who initiated treatment, 35 participants (70%) experienced treatment-emergent adverse events (“TEAEs”). Four experienced serious adverse events, of which one experienced a severe TEAE; all were deemed unrelated to study drug by investigators. Amongst the TEAEs, a total of 17 participants experienced treatment-related adverse events (“TRAEs”), all of which were rated mild or moderate. The most common TRAEs included application site acne, application site discoloration, and application site pruritus (all n=3, 6%). Rapamycin levels were below 2 ng/mL in systemic circulation for all participants at all timepoints in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we presented new microcystic LM data from our Phase 3 SELVA study demonstrating that QTORIN rapamycin produced significant improvements across multiple efficacy measures in patients with microcystic LMs, at the ISSVA. 100% of participants (13/13) aged 6–11 years were rated as “Much Improved” (+2) or “Very Much Improved” (+3) on the Microcystic Lymphatic Malformation Investigator Global Assessment (mLM-IGA) scale at Week 24, with a mean improvement of +2.46 (p&lt;0.001). 87% of participants (20/23) in SELVA with moderate or worse leaking/bleeding at baseline were rated as “Much Improved” (+2) or “Very Much Improved” (+3) on the mLM-IGA Leaking/Bleeding at Week 24, with a mean improvement of +2.48 (p&lt;0.001). 100% of SELVA participants who completed the efficacy evaluation period (43/43) were at least somewhat satisfied with QTORIN rapamycin on the TSQM-9 overall satisfaction item at Week 24, with 84% reporting extremely satisfied, very satisfied, or satisfied. A blinded independent review demonstrated pre-treatment stability during the 8-week run-in period, followed by marked improvement on QTORIN rapamycin, supporting SELVA’s single-arm, baseline-controlled design.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previously announced topline Phase 2 clinical trial results from our multi-center, open-label, baseline-controlled study of 12 subjects receiving QTORIN rapamycin administered once daily for 12 weeks for the treatment of microcystic LMs. The Phase 2 clinical trial featured multiple pre-specified efficacy assessments, including clinician and patient global impression assessments as well as assessments of individual clinical manifestations that are important disease burdens for individuals living with microcystic LMs. All participants in the Phase 2 clinical trial demonstrated improvements on the Clinician Global Impression of Change scale, a 7-point clinician-rated change scale, with all participants in the study rated as either “Much Improved” (n=7, 58%) or “Very Much Improved” (n=5, 42%) after 12-weeks of treatment compared to the pre-treatment baseline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received Breakthrough Therapy Designation, Fast Track Designation, and Orphan Drug Designation from the FDA for QTORIN rapamycin for the treatment of microcystic LMs. Orphan Drug Designation has also been granted by the European Medicines Agency. In addition, we have been awarded an FDA Products Clinical Trials Grant for up to $2.6 million supporting the SELVA Phase 3 study and have received $1.1 million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2026, we completed a pre-NDA meeting with the FDA which addressed nonclinical, clinical pharmacology, and clinical information for the planned NDA and included an in-person discussion with FDA and receipt of official meeting minutes. Subsequent to the pre-NDA meeting, the FDA granted rolling review of our NDA for QTORIN rapamycin for the treatment of microcystic lymphatic malformations.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2026, we submitted the first module of our rolling NDA. We remain on track to submit the remaining modules and complete the NDA submission in the second half of 2026. We are preparing for a planned standalone U.S. commercial launch of QTORIN rapamycin for the treatment of microcystic lymphatic malformations in the first half of 2027, subject to obtaining FDA approval.</w:t>
      </w:r>
    </w:p>
    <w:p>
      <w:pPr>
        <w:pStyle w:val="TextBody"/>
        <w:bidi w:val="0"/>
        <w:spacing w:before="200" w:after="283"/>
        <w:jc w:val="both"/>
        <w:rPr>
          <w:rFonts w:ascii="Times New Roman" w:hAnsi="Times New Roman"/>
          <w:b/>
          <w:i/>
          <w:color w:val="1B1B32"/>
          <w:sz w:val="20"/>
        </w:rPr>
      </w:pPr>
      <w:r>
        <w:rPr>
          <w:rFonts w:ascii="Times New Roman" w:hAnsi="Times New Roman"/>
          <w:b/>
          <w:i/>
          <w:color w:val="1B1B32"/>
          <w:sz w:val="20"/>
        </w:rPr>
        <w:t>QTORIN rapamycin for the treatment of cutaneous VMs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Cutaneous venous malformation is a serious disease with a high unmet need characterized by dysregulated growth of malformed veins impacting the skin, causing functional impairment and deformity. It is estimated that there are more than 75,000 diagnosed patients in the United States with cutaneous VMs.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2025, we announced positive topline efficacy results from TOIVA, a multicenter, single-arm, open-label, baseline-controlled, Phase 2 clinical trial designed to evaluate the safety and efficacy of QTORIN rapamycin for the treatment of cutaneous VMs. The study enrolled 16 participants, ages six and older, at leading vascular anomaly centers across the U.S. Key findings from among the study’s pre-specified efficacy endpoints at Week 12 demonstrated nominally statistically significant (p&lt;0.001) improvements at Week 12 on several of the clinically relevant and important efficacy endpoints evaluated when compared to pre-treatment (baseline), including many of the static and impression of change global instruments evaluated, including the Overall Cutaneous VM Investigator Global Assessment (“Overall cVM-IGA”). The Overall cVM-IGA is a 7-point, clinician-assessed, single-item efficacy endpoint measuring change in severity from baseline, with the numeric rating scale ranging from “Very Much Worse” (-3) to “Very Much Improved” (+3). On the Overall cVM-IGA at Week 12, 73% (11/15) participants improved, with 67% (10/15) either “Much Improved” (+2) or “Very Much Improved” (+3). No trial participants (0/15) were “Minimally Worse” (-1), “Much Worse” (-2), or “Very Much Worse”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Similar to previous clinical trials of QTORIN rapamycin, in the Phase 2 TOIVA study QTORIN rapamycin was generally well-tolerated, with the most common treatment-emergent adverse events being application site reactions (erythema, 25%). All treatment-related adverse events were moderate or mild, with no unexpected adverse events reported. Rapamycin levels were below 2 ng/mL in systemic circulation for all participants at all timepoints in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at the 83rd Annual Meeting of the Society for Investigative Dermatology (“SID”), we presented new data from our Phase 2 TOIVA trial of QTORIN rapamycin for the treatment of cutaneous VMs demonstrating 100% of patients with bleeding at baseline demonstrated improvement on the Cutaneous Venous Malformations Investigator Global Assessment Bleeding scale (“cVM-IGA Bleeding”) at Week 12 (+2.5 point mean improvement).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at the ISSVA World Congress 2026, James Treat, MD presented additional data from our Phase 2 TOIVA study demonstrating statistically significant improvements in both cVM-MCSS Height and cVM-MCSS Appearance at all time points measured, with increasing clinical response observed with longer duration of QTORIN rapamycin therapy.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completing our Preliminary Breakthrough Therapy Designation Advice meeting with the FDA, we applied to the FDA for Breakthrough Therapy Designation in the second quarter of 2026. Following the FDA’s decision in July 2026 to not grant the designation at this time, we are currently planning a resubmission incorporating TOIVA patient interviews and new 24-week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planning for our End-of-Phase 2 meeting with FDA and expect to commence a Phase 3 pivotal study in the fourth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received Fast Track Designation from the FDA for our cutaneous VMs program.</w:t>
      </w:r>
    </w:p>
    <w:p>
      <w:pPr>
        <w:pStyle w:val="TextBody"/>
        <w:bidi w:val="0"/>
        <w:spacing w:before="200" w:after="283"/>
        <w:jc w:val="both"/>
        <w:rPr>
          <w:rFonts w:ascii="Times New Roman" w:hAnsi="Times New Roman"/>
          <w:b/>
          <w:i/>
          <w:color w:val="1B1B32"/>
          <w:sz w:val="20"/>
        </w:rPr>
      </w:pPr>
      <w:r>
        <w:rPr>
          <w:rFonts w:ascii="Times New Roman" w:hAnsi="Times New Roman"/>
          <w:b/>
          <w:i/>
          <w:color w:val="1B1B32"/>
          <w:sz w:val="20"/>
        </w:rPr>
        <w:t>QTORIN rapamycin for the treatment of Clinically Significant Angiokeratomas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September 2025, we announced the expansion of our QTORIN rapamycin development program into clinically significant angiokeratomas. No FDA-approved therapies currently exist for the estimated more than 50,000 diagnosed patients in the U.S.</w:t>
      </w:r>
    </w:p>
    <w:p>
      <w:pPr>
        <w:pStyle w:val="TextBody"/>
        <w:bidi w:val="0"/>
        <w:jc w:val="both"/>
        <w:rPr>
          <w:rFonts w:ascii="Times New Roman" w:hAnsi="Times New Roman"/>
          <w:color w:val="000000"/>
          <w:sz w:val="20"/>
        </w:rPr>
      </w:pPr>
      <w:r>
        <w:rPr>
          <w:rFonts w:ascii="Times New Roman" w:hAnsi="Times New Roman"/>
          <w:color w:val="000000"/>
          <w:sz w:val="20"/>
        </w:rPr>
        <w:t>Clinically significant angiokeratomas are superficial vascular malformations of lymphatic origin which can cause bleeding, pain, functional impairment, and risk of infection, with no tendency for spontaneous regression. Angiokeratomas were classified as an isolated lymphatic malformation in 2025 by ISSVA. Current treatment options include potentially destructive procedural interventions that carry significant risks of pain, scarring, and recurrence. Despite the substantial disease burden, there are currently no FDA-approved treatments available for clinically significant angiokeratomas.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received written feedback from the FDA in February 2026 on the proposed design of a Phase 2 study of approximately 10-20 patients to evaluate QTORIN rapamycin for the treatment of clinically significant angiokeratomas. In April 2026, we dosed our first patients in the Phase 2 LOTU trial, a baseline-controlled clinical study of QTORIN rapamycin administered topically once daily for the treatment of clinically significant angiokeratomas. Topline results are expected in the second half of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Fast Track Designation from the FDA has been granted for our angiokeratomas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QTORIN pitavastatin for the treatment of Disseminated Superficial Actinic Porokeratosis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2025, we announced a new product candidate, QTORIN pitavastatin, for the treatment of DSAP. QTORIN pitavastatin was developed leveraging our QTORIN platform.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DSAP is a premalignant genetic skin disease that presents as persistent, often extensive lesions that enlarge and increase in size, number, and extent over time, causing chronic loss of skin integrity which can severely impact quality-of-life; no FDA-approved therapies currently exist for the estimated more than 50,000 diagnosed patients in the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received written feedback from the FDA in the first quarter of 2026 on the proposed design of a Phase 2 study to evaluate QTORIN pitavastatin for the treatment of DSAP. Trial initiation is anticipated in the second half of 2026.</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The Business Combination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13, 2024 (the “Closing Date”), we consummated the previously announced business combination contemplated by that certain Agreement and Plan of Merger, dated July 23, 2024 (the “Merger Agreement”), by and among the Company, Polo Merger Sub, Inc. (“Merger Sub”), and Palvella Therapeutics, Inc. (“Legacy Palvella”). Pursuant to the Merger Agreement, on the Closing Date, (i) Merger Sub merged with and into Legacy Palvella, with Legacy Palvella as the surviving company in the merger and, after giving effect to such merger, continuing as a wholly owned subsidiary of the Company (the “Merger” and, together with the other transactions contemplated by the Merger Agreement, the “Business Combination”) and (ii) the Company’s name was changed from Pieris Pharmaceuticals, Inc. to Palvella Therapeutics, Inc.</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Contingent Value Rights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December 13, 2024, immediately prior to closing of the Merger, we entered into a Contingent Value Rights Agreement (the “CVR Agreement”) with a rights agent, pursuant to which our pre-Merger capital stockholders received one contingent value right (each, a “CVR”) for each outstanding share of our Common Stock held by such stockholder, or share of Common Stock underlying preferred stock held by such stockholder, on such date. Each CVR represents the contractual right to receive payments upon the receipt of payments by us or any of its affiliates under certain strategic partner agreements, including existing collaboration agreements pursuant to which we may be entitled to milestones and royalties in the future and other out-licensing agreements for certain of Pieris’ legacy assets, and upon the receipt of certain research and development tax credits in favor of us or any of its affiliates, in each case as set forth in, and subject to and in accordance with the terms and conditions of, the CVR Agreement. There can be no assurance that holders of CVRs will receive any amounts with respect thereto. In January 2026, we paid out $2.0 million to holders of CVRs in accordance with the CVR Agreement entered into immediately prior to closing of the Merger on December 13, 2024. </w:t>
      </w:r>
    </w:p>
    <w:p>
      <w:pPr>
        <w:pStyle w:val="TextBody"/>
        <w:bidi w:val="0"/>
        <w:jc w:val="left"/>
        <w:rPr>
          <w:rFonts w:ascii="Times New Roman" w:hAnsi="Times New Roman"/>
          <w:b/>
          <w:color w:val="000000"/>
          <w:sz w:val="20"/>
        </w:rPr>
      </w:pPr>
      <w:r>
        <w:rPr>
          <w:rFonts w:ascii="Times New Roman" w:hAnsi="Times New Roman"/>
          <w:b/>
          <w:color w:val="000000"/>
          <w:sz w:val="20"/>
        </w:rPr>
        <w:t>Ligand Development Funding and Royalties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party to a Development Funding and Royalties Agreement with Ligand Pharmaceuticals, Inc. (“Ligand”), dated December 13, 2018, as amended May 22, 2020 and November 28, 2023 (the “Ligand Agreement”). Under the Ligand Agreement, Ligand has made payments totaling $15.0 million to fund the development of QTORIN rapamycin. As partial consideration for the funding received, we granted Ligand the right to receive up to $8.0 million in milestone payments upon the achievement of certain corporate, financing and regulatory milestones by us related to QTORIN rapamycin for the treatment of any and all indications, of which $5.0 million of potential future milestone payments remain under the arrangement. In addition, we agreed to pay to Ligand tiered royalties ranging from 8.0% to 9.8% of any aggregate annual worldwide net product sales of any products based on QTORIN rapamycin. See Note 4 of the accompanying notes to the condensed consolidated financial statements contained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Impact of Global and Macroeconomic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Uncertainty in the global economy presents significant risks to our business. We are subject to continuing risks and uncertainties in connection with the current macroeconomic environment, including increases in inflation,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trade tariffs and retaliatory tariffs, interest rate and currency rate fluctuations, new laws and regulations enacted by the Trump administration, including, but not limited to, the One Big Beautiful Bill Act, economic slowdown or recession, banking instability, monetary policy changes, and geopolitical factors, including the ongoing conflict between Russia and Ukraine, the current conflicts in Venezuela and the Middle East (including any escalation or expansion) and increasing tensions between China and Taiwan, rapid changes in our regulatory landscape in the United States, including significant staffing reductions and unexpected shifts in leadership of certain federal agencies, and an uncertain legislative environment and supply chain disruptions. While our management is closely monitoring the impact of the current macroeconomic conditions on all aspects of our business, including the impacts on its participants in its clinical trials, employees, suppliers, vendors and business partners, the ultimate extent of the impact on our business remains highly uncertain and will depend on future developments and factors that continue to evolve. Most of these developments and factors are outside our control and could exist for an extended period of time. Management will continue to evaluate the nature and extent of the potential impacts to our business, results of operations, liquidity and capital resources. For additional information, see Part I, Item 1A “Risk Factors” of our 2025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expenses since inception have consisted primarily of research and development expenses and general and administrative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continue to incur significant operating losses for the foreseeable future and to incur increased expenses as we continue to advance our product candidates through clinical trials and regulatory submissions.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Legacy Palvella did not incur as a private company. If we receive regulatory approval for QTORIN rapamycin for treatment of microcystic LMs, cutaneous VM, clinically significant angiokeratomas, QTORIN pitavastatin for the treatment of disseminated superficial actinic porokeratosis or any future product candidates, we expect to incur significant commercialization expenses related to product manufacturing, marketing, sales and distribution. Our losses may fluctuate significantly from quarter-to-quarter and year-to-year, depending on the timing of our clinical trials and our expenditures on other research and development activities.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incurred for the development of our product candidates, which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related to production of preclinical and clinical materials, including CMC fees paid to CMOs;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personnel costs, including salaries, related benefits and stock-based compensation expense for employees engaged in research and development functions, including medical affairs;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vendor expenses related to the execution of preclinical studies and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expenses incurred under agreements with consultants that conduct research and development activities on our behalf;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related to compliance with regulatory requirements;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allocated overhead, including rent, equipment and information technology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expense all research and development expenses in the periods in which they are incurred. Costs for certain research and development activities are recognized based on an evaluation of the progress to completion of specific tasks using information and data provided to us by our vendors and other service providers.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actual costs. Any nonrefundable advance payments that we make for goods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indirect research and development expenses are not currently tracked on a program-by-program basis. We use our personnel and infrastructure resources across multiple research and development programs to identify and develop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We expect our research and development expenses to increase substantially for the foreseeable future as we continue to invest in research and development activities related to developing our product candidates, including investments in advancing our programs and conducting clinical trials. In particular, we expect to incur substantial research and development expenses to continue late-stage clinical development and pursue regulatory approvals of QTORIN rapamycin for the treatment of microcystic LMs, venous malformations and the development of our preclinical programs. Product candidates in later stages of clinical development generally incur higher development costs than those in earlier stages, primarily due to the increased size and duration of later-stage clinical trials. As a result, we expect our research and development expenses to increase as our product candidates advance into later stages of clinical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The duration, costs and timing of preclinical studies and clinical trials and development of our product candidates will depend on a variety of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timely completion of our preclinical studies and clinical trials, which may be significantly slower or cost more than we currently anticipate and may depend substantially upon the performance of certain third-party contractors;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delays in validating, or inability to validate, any endpoints utilized in a clinical trial;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prevalence, duration and severity of potential side effects or other safety issues experienced with our product candidates, if any, or experienced by competitors who are developing topical rapamycin products or who are targeting the same indications in the rare skin diseases space;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CMOs upon which we rely to manufacture clinical supplies of our product candidates or any future product candidates to remain in good standing with relevant regulatory authorities and to develop, validate and maintain commercially viable manufacturing processes that are compliant with cGMP;</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retain patients who have enrolled in a clinical study but may be prone to withdraw due to the rigors of the clinical trial, lack of efficacy, side effects, personal issues or loss of interest;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establish and enforce intellectual property rights in and to our current product candidates and any future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minimizing and managing any delay or disruption to our ongoing or planned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change in the outcome of any of these factors with respect to the development of any of our product candidates would significantly change the costs and timing associated with the development of that product candidate.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never succeed in achieving regulatory approval for any of our product candidates. Our preclinical studies and clinical trials may be unsuccessful. We may elect to discontinue, suspend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additional clinical trials beyond those that we currently anticipate will be required for the completion of any of our product candidates’ clinical development, or if we experience significant delays in execution of or enrollment in any of our preclinical studies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trials, we could be required to expend significant additional financial resources and time on the completion of preclinical and clinical development for such product candidates.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general and administrative expenses consist primarily of the following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personnel costs, including salaries, related benefits, travel and stock-based compensation expense for personnel in executive, finance and administrative functions;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professional fees for legal, intellectual property, information technology, financial, human resources, consulting, audit and accounting services not otherwise included in 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substantially in the future as we increase our headcount to support our organizational growth. Following the completion of the Merger, we also anticipate that we will incur increased accounting, audit, legal, regulatory, compliance and director and officer insurance costs as well as investor and public relations expenses associated with our operations as a public company. In addition, if we obtain regulatory approval for a product candidate and do not enter into a third-party commercialization collaboration, we expect to incur significant expenses related to building a sales and marketing organization to support product sales, marketing and distribution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(Expense)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other (expense) income for the three and six months ended June 30, 2026 and 2025 primarily consists of: (i) non-cash interest (expense) income related to our obligation to make future royalty payments pursuant to the Amended Ligand Agreement, which was determined to be a debt instrument; (ii) fair value adjustments related to our obligation to make future milestone payments under the Amended Ligand Agreement, which was determined to be a derivative liability; (iii) fair value adjustments related to the CVRs, which met the definition of a derivative; and (iv) interest income,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other (expense) income is subject to variability due to changes in the fair value of the derivative liabilities as well as the potential variability of the royalty agreement liability, both of which are based on significant estimates regarding the timing and success of future development and commercialization activities.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May 2018, we have not recorded any income tax benefits for net operating losses (“NOLs”). We believe, based upon the weight of available evidence, that it is more likely than not that all of our NOLs and tax credits will not be realized. Accordingly, we have established a valuation allowance against such deferred tax assets for all periods since inception.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assess our income tax positions and record tax benefits based upon management’s evaluation of the facts, circumstances, and information available at the reporting date. For those tax positions where it is more likely than not that a tax benefit will be sustained, we record the amount of tax benefit with a greater than 50% likelihood of being realized upon ultimate settlement with a taxing authority having full knowledge of all relevant information. For those income tax positions for which it is not more likely than not that a tax benefit will be sustained, no tax benefit is recognized in the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had no provision for income taxes for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sets forth our results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736"/>
        <w:gridCol w:w="166"/>
        <w:gridCol w:w="146"/>
        <w:gridCol w:w="211"/>
        <w:gridCol w:w="73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royalty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 – royalty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 on derivative liabilities – contingent value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our research and development expenses incurred by development program (in thousands): </w:t>
      </w:r>
    </w:p>
    <w:tbl>
      <w:tblPr>
        <w:tblW w:w="10205" w:type="dxa"/>
        <w:jc w:val="left"/>
        <w:tblInd w:w="0" w:type="dxa"/>
        <w:tblLayout w:type="fixed"/>
        <w:tblCellMar>
          <w:top w:w="28" w:type="dxa"/>
          <w:left w:w="28" w:type="dxa"/>
          <w:bottom w:w="28" w:type="dxa"/>
          <w:right w:w="28" w:type="dxa"/>
        </w:tblCellMar>
      </w:tblPr>
      <w:tblGrid>
        <w:gridCol w:w="2927"/>
        <w:gridCol w:w="346"/>
        <w:gridCol w:w="211"/>
        <w:gridCol w:w="676"/>
        <w:gridCol w:w="146"/>
        <w:gridCol w:w="146"/>
        <w:gridCol w:w="211"/>
        <w:gridCol w:w="571"/>
        <w:gridCol w:w="166"/>
        <w:gridCol w:w="146"/>
        <w:gridCol w:w="214"/>
        <w:gridCol w:w="582"/>
        <w:gridCol w:w="166"/>
        <w:gridCol w:w="146"/>
        <w:gridCol w:w="211"/>
        <w:gridCol w:w="676"/>
        <w:gridCol w:w="146"/>
        <w:gridCol w:w="146"/>
        <w:gridCol w:w="211"/>
        <w:gridCol w:w="571"/>
        <w:gridCol w:w="166"/>
        <w:gridCol w:w="146"/>
        <w:gridCol w:w="211"/>
        <w:gridCol w:w="676"/>
        <w:gridCol w:w="391"/>
      </w:tblGrid>
      <w:tr>
        <w:trPr/>
        <w:tc>
          <w:tcPr>
            <w:tcW w:w="29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QTORIN CMC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QTORIN rapamycin for microcystic LM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QTORIN rapamycin for angiokeratomas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QTORIN rapamycin for cutaneous VM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QTORIN rapamycin for microcystic LM - Government grant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Non-program specific and unallocated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Consultants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Research and development expenses for the three months ended June 30, 2026 were $12.5 million, as compared to $5.1 million for the three months ended June 30, 2025. Research and development expenses for the six months ended June 30, 2026 were $21.8 million, as compared to $9.2 million for the three months ended June 30, 2025. The increase in research and development expenses was primarily due to increased spending on clinical, manufacturing and controls (“CMC”) activities, the clinical development of QTORIN rapamycin for the treatment of angiokeratomas, costs associated with the submission of the first module of our rolling NDA, and costs resulting from increased headcount and consulting services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for the three months ended June 30, 2026 were $8.9 million, as compared to $4.1 million for the three months ended June 30, 2025. General and administrative expenses for the six months ended June 30, 2026 were $14.5 million, as compared to $7.9 million for the six months ended June 30, 2025. The increase in general and administrative expenses was primarily due to increased headcount in 2026, as well as increased professional services related to operating as a publicly-traded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Total Other (Expense)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other (expense) income, net for the three months ended June 30, 2026 was $0.5 million, as compared to $0.2 million of expense for the three months ended June 30, 2025. Total other (expense) income, net for the six months ended June 30, 2026 was $1.4 million, as compared to $0.5 million of expense for the six months ended June 30, 2025. The significant components of other (expense) income are more fully described below.</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expense – royalty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we recorded interest expense of approximately $2.3 million, as compared to approximately $1.4 million for the three months ended June 30, 2025. During the six months ended June 30, 2026, we recorded interest expense of approximately $4.3 million, as compared to approximately $2.6 million for the six months ended June 30, 2025. Interest expense recorded in all periods related to the change in fair value of our royalty agreement liability.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adjustments on derivative liabilities – royalty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and 2025, we recorded a non-cash loss on derivative liabilities of approximately $0.1 million. During the six months ended June 30, 2026 and 2025, we recorded a non-cash loss on derivative liabilities of approximately $0.2 million. The non-cash loss recorded in all periods related to the change in fair value of our obligation to make future milestone payments under the Amended Ligand Agreement, which was determined to be a derivative liability.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adjustments on derivative liabilities – contingent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 months ended June 30, 2026, we recorded non-cash income of approximately $0.2 million related to fair value adjustments related to the CVRs which were issued in 2024 in connection with the Business Combination and determined to be derivative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we recorded interest income, net of $2.0 million, as compared to $0.7 million for the three months ended June 30, 2025. During the six months ended June 30, 2026, we recorded interest income, net of $3.0 million, as compared to $1.4 million for the six months ended June 30, 2025. The increase during each of the three and six months ended June 30, 2026, as compared to the corresponding periods in 2025, was primarily due to increases in the average balances held in interest-bearing cash and money market funds.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factors discussed above, our net loss applicable to common stockholders for the three months ended June 30, 2026 and 2025 was $21.9 million and $9.5 million, respectively, and our net loss applicable to common stockholders for the six months ended June 30, 2026 and 2025 was $37.6 million and $17.7 million,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Since inception, we have incurred substantial losses, and have primarily funded our operations with proceeds from the Amended Ligand Agreement and the sale of debt and equity securities, including common stock, convertible preferred stock and convertible notes. During the six months ended June 30, 2026, we incurred a net loss of $37.6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million and reported net cash used in operating activities of $23.7 million. As of June 30, 2026, we had an accumulated deficit of $173.1 million and cash and cash equivalents and short-term investments of $250.6 million. Our primary use of cash is to fund operating expenses, which consist primarily of research and development expenditures, and, to a lesser extent, general and administrative expenditures. </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expect to generate commercial revenue or operating cash flows in the near-term. Our ability to continue as a going concern in the near term is largely dependent on our existing cash balance and our ability to obtain additional sources of financing in order to fund operating expenses, complete development of our product candidates, obtain regulatory approvals, launch, and commercialize our product candidates, and continue research and development programs. </w:t>
      </w:r>
    </w:p>
    <w:p>
      <w:pPr>
        <w:pStyle w:val="TextBody"/>
        <w:bidi w:val="0"/>
        <w:spacing w:before="200" w:after="283"/>
        <w:jc w:val="both"/>
        <w:rPr>
          <w:rFonts w:ascii="Times New Roman" w:hAnsi="Times New Roman"/>
          <w:sz w:val="20"/>
        </w:rPr>
      </w:pPr>
      <w:r>
        <w:rPr>
          <w:rFonts w:ascii="Times New Roman" w:hAnsi="Times New Roman"/>
          <w:i/>
          <w:color w:val="000000"/>
          <w:sz w:val="20"/>
        </w:rPr>
        <w:t>Equity Financing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25, 2026, we entered into an underwriting agreement (the “Underwriting Agreement”) with TD Securities (USA) LLC, Cantor Fitzgerald &amp; Co. and Stifel, Nicolaus &amp; Company, Incorporated, as representatives (the “Representatives”) of the several underwriters named therein (the “Underwriters”), pursuant to which we agreed to issue and sell an aggregate of 1,600,000 shares (the “Firm Shares”) of our Common Stock, at a price to the public of $125.00. Under the terms of the Underwriting Agreement, we granted the Underwriters an option to purchase up to an additional 240,000 shares of our Common Stock at the public offering price, less underwriting discounts and commission. The option was exercised and the offering closed on February 27, 2026. The offering resulted in net proceeds of $215.8 million, after deducting underwriting discounts and commissions and other offering expenses. </w:t>
      </w:r>
    </w:p>
    <w:p>
      <w:pPr>
        <w:pStyle w:val="TextBody"/>
        <w:bidi w:val="0"/>
        <w:spacing w:before="200" w:after="200"/>
        <w:jc w:val="both"/>
        <w:rPr>
          <w:rFonts w:ascii="Times New Roman" w:hAnsi="Times New Roman"/>
          <w:sz w:val="20"/>
        </w:rPr>
      </w:pPr>
      <w:r>
        <w:rPr>
          <w:rFonts w:ascii="Times New Roman" w:hAnsi="Times New Roman"/>
          <w:i/>
          <w:color w:val="000000"/>
          <w:sz w:val="20"/>
        </w:rPr>
        <w:t>PIPE Financing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Concurrently with the execution of the Merger Agreement on July 23, 2024, Pieris entered into a securities purchase agreement (the “Purchase Agreement”) with certain investors, including BVF Partners, L.P., an existing stockholder of Pieris (the “PIPE Investors”), pursuant to which, among other things, on the Closing Date and immediately following the consummation of the Merger, the PIPE Investors purchased (either for cash or in exchange for the termination and cancellation of outstanding convertible promissory notes issued by Legacy Palvella), and the Company issued and sold to the PIPE Investors, (i) 3,168,048 shares of Common Stock and (ii) Pre-Funded Warrants, exercisable for 2,466,456 shares of Common Stock, at a purchase price of $13.9965 per share or $13.9955 per Pre-Funded Warrant, which represents the per share purchase price of Common Stock less the $0.001 per share exercise price for each Pre-Funded Warrant, for an aggregate purchase price of approximately $78.9 million, consisting of approximately $60.0 million in cash and the conversion of approximately $18.9 million of principal and interest under outstanding convertible notes issued by Legacy Palvella (the “PIPE Financing”). As of June 30, 2026, the Company has pre-funded warrants outstanding to purchase an aggregate of 1,394,780 shares of Common Stock.</w:t>
      </w:r>
    </w:p>
    <w:p>
      <w:pPr>
        <w:pStyle w:val="TextBody"/>
        <w:bidi w:val="0"/>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6, 2024, Legacy Palvella initiated a sequence of convertible notes with certain investors via a Convertible Note Purchase Agreement, pursuant to which the Company issued convertible notes in the aggregate principal amount of approximately $18.4 million (the “Convertible Notes”) between June 2024 and December 2024. Simple interest accrued on the outstanding principal amount of the Convertible Notes at an annual rate of SOFR plus 2.0% per annum. Unless earlier converted, the maturity date of the Convertible Notes was the earliest to occur of (i) the date that Legacy Palvella received approval of an NDA by the FDA of QTORIN rapamycin in the United States, or (ii) June 3, 2027. Upon the closing of the PIPE Financing, the entire outstanding principal amount and unpaid accrued interest on the convertible notes automatically converted into an aggregate of 1,179,163 shares of Common Stock and 168,503 pre-funded warrants with all such pre-funded warrants remaining outstanding as of June 30, 2026.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not generated product revenue or achieved profitability since our inception and expect to continue to incur net losses for the foreseeable future. As of June 30, 2026, we had approximately $250.6 million in cash and cash equivalents and short-term investments. Based on our current business plans, we believe that our existing cash and cash equivalents will be sufficient to fund our planned operations for at least the one year period following the date of the filing of this Quarterly Report on Form 10-Q. Moreover, we expect our losses to increase as we continue to advance our product candidates through clinical trials and regulatory submissions. We may also incur expenses in connection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 the in-licensing or acquisition of additional product candidates and to build our commercial organization in preparation for the launch of our lead product candidate, QTORIN rapamycin for the treatment of microcystic LM, which is currently under review at the FDA, which may not be currently contemplated in our planned operations. Furthermore, we expect to incur additional costs associated with operating as a public company, including significant legal, accounting, investor relations and other expenses that we did not incur as a private company. Our primary uses of capital have been, and we expect will continue to be, compensation and related expenses, third-party clinical research, manufacturing and development services, license payments or milestone obligations that may arise, manufacturing costs, legal and other regulatory expenses and general overhead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upon our current operating plan, we believe that our cash and cash equivalents and short-term investments on hand as of June 30, 2026 will be sufficient to fund our operating expenses for at least the next twelve months from the date of this Quarterly Report on Form 10-Q. To continue to finance our operations beyond that point, we may need to raise additional capital, the success of which cannot be assured. We have based this estimate on assumptions that may prove to be wrong, and we could exhaust our available capital resources sooner than we currently expect. If we receive regulatory approval for QTORIN rapamycin for the treatment of microcystic LM, cutaneous VMs, clinically significant angiokeratomas, QTORIN pitavastatin for the treatment of disseminated superficial actinic porokeratosis, or any of our future product candidates, we expect to incur significant commercialization expenses related to manufacturing, sales, marketing, and distribution, or from any out-licensing of the product. We are also responsible for up to $5.0 million in milestone payments to Ligand under the Amended Ligand Agreement upon the achievement of certain regulatory milestones by us related to QTORIN rapamycin, which may be triggered prior to the commercialization of any of our product candidates and ability to generate revenue.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we raise additional capital by issuing equity securities, our existing stockholders may experience substantial dilution, and the terms of these securities may include liquidation or other preferences detrimental to the rights of our common stockholders.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grant licenses on terms that may not be favorable to us. We may seek additional capital due to favorable market conditions or strategic considerations even if we believe we has sufficient funds for our current or future operating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funding requirements depend on many factors, including, but not limited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timing and outcome of regulatory review for QTORIN rapamycin for the treatment of microcystic LM, or our other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commercialization and manufacturing activities for QTORIN rapamycin and QTORIN pitavastatin, and our ability to successfully commercialize these product candidates, if approved;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researching and developing QTORIN rapamycin, QTORIN pitavastatin, or any future product candidates, and conducting preclinical studies and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manufacturing our product candidates and any products we commercialize, including costs associated with developing our supply chain;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commercialization activities if any of our product candidates are approved for sale, including marketing, sales and distribution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any such agreements that we may enter into;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timing and sales of any future approved products,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size of the markets, degree of market acceptance, as well as the pricing and reimbursement for our approved products,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timing and amount of milestone or royalty payments due under the Ligand Agreements or under similar arrangements with any future collaboration or licensing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expenses needed to attract and retain skilled personnel;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and other costs associated with being a public company;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our intellectual property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our development and commercialization operating plans may change, and we may need additional funds to meet operational needs and capital requirements for clinical trials and other research and development activities and commercialization of QTORIN rapamycin, if approved. Because of the numerous risks and uncertainties associated with the development and commercialization of our product candidates, we may be unable to accurately estimate the amounts of increased capital outlays and operating expenditures associated with our current and anticipated product development programs.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 (in thousands):</w:t>
      </w:r>
    </w:p>
    <w:p>
      <w:pPr>
        <w:pStyle w:val="TextBody"/>
        <w:bidi w:val="0"/>
        <w:jc w:val="left"/>
        <w:rPr/>
      </w:pPr>
      <w:r>
        <w:rPr/>
        <w:t> </w:t>
      </w:r>
    </w:p>
    <w:tbl>
      <w:tblPr>
        <w:tblW w:w="7619" w:type="dxa"/>
        <w:jc w:val="left"/>
        <w:tblInd w:w="0" w:type="dxa"/>
        <w:tblLayout w:type="fixed"/>
        <w:tblCellMar>
          <w:top w:w="28" w:type="dxa"/>
          <w:left w:w="28" w:type="dxa"/>
          <w:bottom w:w="28" w:type="dxa"/>
          <w:right w:w="28" w:type="dxa"/>
        </w:tblCellMar>
      </w:tblPr>
      <w:tblGrid>
        <w:gridCol w:w="5011"/>
        <w:gridCol w:w="146"/>
        <w:gridCol w:w="211"/>
        <w:gridCol w:w="781"/>
        <w:gridCol w:w="166"/>
        <w:gridCol w:w="146"/>
        <w:gridCol w:w="211"/>
        <w:gridCol w:w="736"/>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and 2025 consisted of net loss for the period adjusted for non-cash items and changes in components of operating assets and liabilities. The primary use of cash was to fund our operations related to the development of our product candidates, including general and administrative support, which increased due to greater research and development efforts in 2026, increased costs to operate as a public company, as well as the timing of payments and increase in accounts payable.</w:t>
      </w:r>
    </w:p>
    <w:p>
      <w:pPr>
        <w:pStyle w:val="TextBody"/>
        <w:bidi w:val="0"/>
        <w:spacing w:before="0" w:after="200"/>
        <w:jc w:val="left"/>
        <w:rPr>
          <w:rFonts w:ascii="Times New Roman" w:hAnsi="Times New Roman"/>
          <w:sz w:val="20"/>
        </w:rPr>
      </w:pPr>
      <w:r>
        <w:rPr>
          <w:rFonts w:ascii="Times New Roman" w:hAnsi="Times New Roman"/>
          <w:i/>
          <w:color w:val="000000"/>
          <w:sz w:val="20"/>
        </w:rPr>
        <w:t>Net cash used in investing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2026, net cash used in investing activities was $62.5 million, consisting of the purchase and maturities of marketable securities.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Net cash provided by (used in) financing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2026, net cash provided by financing activities was $216.0 million, consisting of proceeds from the issuance of common stock in connection with the equity financing in February 2026, the payment to holders of CVRs in accordance with the CVR Agreement entered into immediately prior to closing of the Merger on December 13, 2024, and proceeds from the exercise of 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2025, net cash used in financing activities was $0.9 million, consisting primarily of payments of transaction costs incurred in connection with the Business Combination and proceeds from the exercise of stock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2026, there were no material changes outside the ordinary course of our business to our contractual obligations and cash requirements, as disclosed in our 2025 Form 10-K.</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This management’s discussion and analysis of our financial condition and results of operations is based on our unaudited condensed consolidated financial statements included elsewhere in this Quarterly Report on Form 10-Q,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management evaluates its estimates and judgments, including, but not limited to, those related to (i) research and development expenses and accruals, (ii) the Amended Ligand Agreement, including the related royalty agreement liability and derivative liability, (iii) the CVR Agreement, including contingent value right liability, (iv) stock-based compensation, and (v) the valuation allowance for deferred income taxes.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regard an accounting estimate or assumption underlying our financial statements as a “critical accounting estimate” if:</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nature of the estimate or assumption is material due to the level of subjectivity and judgment necessary to account for highly uncertain matters or the susceptibility of such matters to change;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impact of the estimates and assumptions on financial condition or operating performance is material.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policies or in the methodology used for estimates from those described in “Management’s Discussion and Analysis of Financial Condition and Results of Operations” included in our 2025 Form 10-K.</w:t>
      </w:r>
    </w:p>
    <w:p>
      <w:pPr>
        <w:pStyle w:val="TextBody"/>
        <w:bidi w:val="0"/>
        <w:spacing w:before="40" w:after="283"/>
        <w:jc w:val="both"/>
        <w:rPr>
          <w:rFonts w:ascii="Times New Roman" w:hAnsi="Times New Roman"/>
          <w:b/>
          <w:color w:val="000000"/>
          <w:sz w:val="22"/>
        </w:rPr>
      </w:pPr>
      <w:bookmarkStart w:id="11" w:name="item_3_quantitative_qualitative_disclos"/>
      <w:bookmarkEnd w:id="11"/>
      <w:r>
        <w:rPr>
          <w:rFonts w:ascii="Times New Roman" w:hAnsi="Times New Roman"/>
          <w:b/>
          <w:color w:val="000000"/>
          <w:sz w:val="22"/>
        </w:rPr>
        <w:t>Item 3. Quantitative and Qualitative Disclosures About Market Risk.</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and are not required to provide the information required under this item.</w:t>
      </w:r>
    </w:p>
    <w:p>
      <w:pPr>
        <w:pStyle w:val="TextBody"/>
        <w:bidi w:val="0"/>
        <w:spacing w:before="40" w:after="283"/>
        <w:jc w:val="left"/>
        <w:rPr>
          <w:rFonts w:ascii="Times New Roman" w:hAnsi="Times New Roman"/>
          <w:b/>
          <w:color w:val="000000"/>
          <w:sz w:val="22"/>
        </w:rPr>
      </w:pPr>
      <w:bookmarkStart w:id="12" w:name="item_4_controls_and_procedures"/>
      <w:bookmarkEnd w:id="12"/>
      <w:r>
        <w:rPr>
          <w:rFonts w:ascii="Times New Roman" w:hAnsi="Times New Roman"/>
          <w:b/>
          <w:color w:val="000000"/>
          <w:sz w:val="22"/>
        </w:rPr>
        <w:t>Item 4.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2026. In designing and evaluating our disclosure controls and procedures, management recognizes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principal executive officer and principal financial officer concluded that as of June 30, 2026, our disclosure controls and procedures were (1) designed to ensure that material information relating to us is made known to our principal executive officer and principal financial officer by others, particularly during the period in which this report was prepared, and (2) effective, in that they provide reasonable assurance that information required to be disclosed by us in the reports we file or submit under the Exchange Act is recorded, processed, summarized and reported within the time periods specified in the Securities and Exchange Commission’s rules and forms.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2"/>
        </w:rPr>
      </w:pPr>
      <w:bookmarkStart w:id="13" w:name="part_ii_other_information"/>
      <w:bookmarkEnd w:id="13"/>
      <w:r>
        <w:rPr>
          <w:rFonts w:ascii="Times New Roman" w:hAnsi="Times New Roman"/>
          <w:b/>
          <w:color w:val="000000"/>
          <w:sz w:val="22"/>
        </w:rPr>
        <w:t>PART II—OTHER INFORMATION</w:t>
      </w:r>
    </w:p>
    <w:p>
      <w:pPr>
        <w:pStyle w:val="TextBody"/>
        <w:bidi w:val="0"/>
        <w:spacing w:before="200" w:after="200"/>
        <w:jc w:val="left"/>
        <w:rPr>
          <w:rFonts w:ascii="Times New Roman" w:hAnsi="Times New Roman"/>
          <w:b/>
          <w:color w:val="000000"/>
          <w:sz w:val="22"/>
        </w:rPr>
      </w:pPr>
      <w:bookmarkStart w:id="14" w:name="item_1_legal_proceedings"/>
      <w:bookmarkEnd w:id="14"/>
      <w:r>
        <w:rPr>
          <w:rFonts w:ascii="Times New Roman" w:hAnsi="Times New Roman"/>
          <w:b/>
          <w:color w:val="000000"/>
          <w:sz w:val="22"/>
        </w:rPr>
        <w:t>Item 1. 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From time to time, we may become involved in various legal proceedings that arise in the ordinary course of our business. We are not currently a party to any material legal proceedings, and are not aware of any pending or threatened legal proceeding against us that we believe could have an adverse effect on our business, operating results or financial condition.</w:t>
      </w:r>
    </w:p>
    <w:p>
      <w:pPr>
        <w:pStyle w:val="TextBody"/>
        <w:bidi w:val="0"/>
        <w:spacing w:before="40" w:after="200"/>
        <w:jc w:val="left"/>
        <w:rPr>
          <w:rFonts w:ascii="Times New Roman" w:hAnsi="Times New Roman"/>
          <w:b/>
          <w:color w:val="000000"/>
          <w:sz w:val="22"/>
        </w:rPr>
      </w:pPr>
      <w:bookmarkStart w:id="15" w:name="item_1a_risk_factors"/>
      <w:bookmarkEnd w:id="15"/>
      <w:r>
        <w:rPr>
          <w:rFonts w:ascii="Times New Roman" w:hAnsi="Times New Roman"/>
          <w:b/>
          <w:color w:val="000000"/>
          <w:sz w:val="22"/>
        </w:rPr>
        <w:t>Item 1A. Risk Factors.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Investing in our securities involves a high degree of risk. You should carefully consider the risks and uncertainties discussed within “Item 1A. Risk Factors” of our 2025 Form 10-K, together with all of the other information in this Quarterly Report on Form 10-Q, including the section “Management’s Discussion and Analysis of Financial Condition and Results of Operations” and our unaudited condensed consolidated financial statements and related notes, before deciding whether to purchase any of our securities.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have been no material changes in our risk factors from those disclosed in our 2025 Form 10-K.</w:t>
      </w:r>
    </w:p>
    <w:p>
      <w:pPr>
        <w:pStyle w:val="TextBody"/>
        <w:bidi w:val="0"/>
        <w:spacing w:before="40" w:after="200"/>
        <w:jc w:val="left"/>
        <w:rPr>
          <w:rFonts w:ascii="Times New Roman" w:hAnsi="Times New Roman"/>
          <w:b/>
          <w:color w:val="000000"/>
          <w:sz w:val="22"/>
        </w:rPr>
      </w:pPr>
      <w:bookmarkStart w:id="16" w:name="item_2_unregistered_sales_equity_securit"/>
      <w:bookmarkEnd w:id="16"/>
      <w:r>
        <w:rPr>
          <w:rFonts w:ascii="Times New Roman" w:hAnsi="Times New Roman"/>
          <w:b/>
          <w:color w:val="000000"/>
          <w:sz w:val="22"/>
        </w:rPr>
        <w:t>Item 2. Unregistered Sales of Equity Securities, Use of Proceeds and Issuer Purchase of Equity Securities.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spacing w:before="40" w:after="200"/>
        <w:jc w:val="left"/>
        <w:rPr>
          <w:rFonts w:ascii="Times New Roman" w:hAnsi="Times New Roman"/>
          <w:b/>
          <w:color w:val="000000"/>
          <w:sz w:val="21"/>
        </w:rPr>
      </w:pPr>
      <w:bookmarkStart w:id="17" w:name="item_3_defaults_upon_senior_securities"/>
      <w:bookmarkEnd w:id="17"/>
      <w:r>
        <w:rPr>
          <w:rFonts w:ascii="Times New Roman" w:hAnsi="Times New Roman"/>
          <w:b/>
          <w:color w:val="000000"/>
          <w:sz w:val="21"/>
        </w:rPr>
        <w:t>Item 3. Defaults Upon Senior Securities.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40" w:after="200"/>
        <w:jc w:val="left"/>
        <w:rPr>
          <w:rFonts w:ascii="Times New Roman" w:hAnsi="Times New Roman"/>
          <w:b/>
          <w:color w:val="000000"/>
          <w:sz w:val="22"/>
        </w:rPr>
      </w:pPr>
      <w:bookmarkStart w:id="18" w:name="item_4_mine_safety_disclosures"/>
      <w:bookmarkEnd w:id="18"/>
      <w:r>
        <w:rPr>
          <w:rFonts w:ascii="Times New Roman" w:hAnsi="Times New Roman"/>
          <w:b/>
          <w:color w:val="000000"/>
          <w:sz w:val="22"/>
        </w:rPr>
        <w:t>Item 4. Mine Safety Disclosures.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40" w:after="200"/>
        <w:jc w:val="left"/>
        <w:rPr>
          <w:rFonts w:ascii="Times New Roman" w:hAnsi="Times New Roman"/>
          <w:b/>
          <w:color w:val="000000"/>
          <w:sz w:val="22"/>
        </w:rPr>
      </w:pPr>
      <w:bookmarkStart w:id="19" w:name="item_5_other_information"/>
      <w:bookmarkEnd w:id="19"/>
      <w:r>
        <w:rPr>
          <w:rFonts w:ascii="Times New Roman" w:hAnsi="Times New Roman"/>
          <w:b/>
          <w:color w:val="000000"/>
          <w:sz w:val="22"/>
        </w:rPr>
        <w:t>Item 5. Other Information.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Consistent with Item 408 of Regulation S-K, the following table reflects Rule 10b5-1 trading arrangements and non-Rule 10b5-1 trading arrangements (as defined in Item 408 of Regulation S-K) entered into by any director or officer (as defined in Rule 16a-1(f) of the Exchange Act) during the quarter ended June 30, 2026:</w:t>
      </w:r>
    </w:p>
    <w:tbl>
      <w:tblPr>
        <w:tblW w:w="10205" w:type="dxa"/>
        <w:jc w:val="left"/>
        <w:tblInd w:w="0" w:type="dxa"/>
        <w:tblLayout w:type="fixed"/>
        <w:tblCellMar>
          <w:top w:w="28" w:type="dxa"/>
          <w:left w:w="28" w:type="dxa"/>
          <w:bottom w:w="28" w:type="dxa"/>
          <w:right w:w="28" w:type="dxa"/>
        </w:tblCellMar>
      </w:tblPr>
      <w:tblGrid>
        <w:gridCol w:w="940"/>
        <w:gridCol w:w="146"/>
        <w:gridCol w:w="1408"/>
        <w:gridCol w:w="146"/>
        <w:gridCol w:w="963"/>
        <w:gridCol w:w="146"/>
        <w:gridCol w:w="4624"/>
        <w:gridCol w:w="146"/>
        <w:gridCol w:w="1686"/>
      </w:tblGrid>
      <w:tr>
        <w:trPr/>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22222"/>
                <w:sz w:val="18"/>
                <w:u w:val="single"/>
              </w:rPr>
            </w:pPr>
            <w:r>
              <w:rPr>
                <w:rFonts w:ascii="Times New Roman" w:hAnsi="Times New Roman"/>
                <w:b/>
                <w:color w:val="222222"/>
                <w:sz w:val="18"/>
                <w:u w:val="single"/>
              </w:rPr>
              <w:t>Type of Trading Arrangement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22222"/>
                <w:sz w:val="18"/>
                <w:u w:val="single"/>
              </w:rPr>
            </w:pPr>
            <w:r>
              <w:rPr>
                <w:rFonts w:ascii="Times New Roman" w:hAnsi="Times New Roman"/>
                <w:b/>
                <w:color w:val="222222"/>
                <w:sz w:val="18"/>
                <w:u w:val="single"/>
              </w:rPr>
              <w:t>Date of Adoption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22222"/>
                <w:sz w:val="18"/>
                <w:u w:val="single"/>
              </w:rPr>
            </w:pPr>
            <w:r>
              <w:rPr>
                <w:rFonts w:ascii="Times New Roman" w:hAnsi="Times New Roman"/>
                <w:b/>
                <w:color w:val="222222"/>
                <w:sz w:val="18"/>
                <w:u w:val="single"/>
              </w:rPr>
              <w:t>Expiration Date of Trading Arrangement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22222"/>
                <w:sz w:val="18"/>
                <w:u w:val="single"/>
              </w:rPr>
            </w:pPr>
            <w:r>
              <w:rPr>
                <w:rFonts w:ascii="Times New Roman" w:hAnsi="Times New Roman"/>
                <w:b/>
                <w:color w:val="222222"/>
                <w:sz w:val="18"/>
                <w:u w:val="single"/>
              </w:rPr>
              <w:t>Aggregate Number of Securities to Be Purchased or Sold</w:t>
            </w:r>
          </w:p>
        </w:tc>
      </w:tr>
      <w:tr>
        <w:trPr/>
        <w:tc>
          <w:tcPr>
            <w:tcW w:w="940"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George Jenkins</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12,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12, 2027 or such earlier date upon completion of all trades under the plan (or expiration of the orders relating to such trades without execution) or the occurrence of such other termination events as specified in the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up to 55,000 shares of Common Stock</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officers and directors from time to time may adopt trading plans to transact in our securities for reasons such as satisfying vesting-related income tax requirements, investment diversification, or other personal reasons. On June 12, 2026, George Jenkins, a member of our Board of Directors, entered into a Rule 10b5-1 trading plan that provides for the potential future sale of a limited portion of his Common Stock, as part of Mr. Jenkins long-term financial planning objectives. The plan was adopted during an open trading window, at a time when Mr. Jenkins was not in possession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material non-public information and was reviewed and approved in accordance with the Company’s Insider Trading Policy. The plan establishes fixed criteria for potential transactions and removes discretion over the timing of trades.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than as disclosed above, no director or officer (as defined in Rule 16a-1(f) of the Exchange Act) adopted or terminated a Rule 10b5-1 trading arrangement or non-Rule 10b5-1 trading arrangement (as defined in Item 408 of Regulation S-K) during the quarter ended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On August 3, 2026, the Board of Directors approved the Change in Control Acceleration Policy (the “Policy”), effective August 3, 2026, to provide for accelerated equity vesting benefits to eligible employees in the event of certain qualifying terminations following a Change in Control (as defined in the Policy), subject to the employee signing a general release of claims. Participants under the Policy include all Vice Presidents and above, including the Company’s current named executive officers (the “Eligible Employees”).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Policy, in the event of an Eligible Employee’s termination (i) by the Company or its successor without Cause or (ii) by the Eligible Employee for Good Reason (as such terms are defined in the Policy) during the period beginning three months prior to the effective date of a Change in Control (as defined in the Policy) and continuing for the 12 months immediately following such Change in Control (the “Change in Control Period”), subject to (i) the Eligible Employee signing a general release of claims (the “Release”), and (ii) the Release becoming effective within 60 days after the date of the Eligible Employee’s termination (the “Date of Termination”), all then unvested and outstanding equity awards (collectively, the “Equity Awards”), shall become fully vested; provided that, any awards subject to performance-based vesting shall vest based on target performance unless otherwise explicitly set forth in the applicable award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the Release has not become effective as of such Date of Termination, then acceleration of vesting shall be tolled until the earlier of (x) the effective date of the Release, at which point the Equity Awards will be automatically fully vested, or (y) the date upon which the Release can no longer become fully effective, at which time the unvested portion of the Eligible Employee’s Equity Awards will be forfeited. The forfeiture of such awards shall be delayed until the earlier of (A) the effective date of the Release or (B) the date that the Release can no longer become fully effective.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Policy does not purport to be complete and is qualified in its entirety by reference to the full text of the Policy, a copy of which will be filed as an exhibit to the Company’s Quarterly Report on Form 10-Q for the quarter ending September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240"/>
        <w:jc w:val="left"/>
        <w:rPr>
          <w:rFonts w:ascii="Times New Roman" w:hAnsi="Times New Roman"/>
          <w:sz w:val="20"/>
        </w:rPr>
      </w:pPr>
      <w:bookmarkStart w:id="20" w:name="item_6_exhibits"/>
      <w:bookmarkEnd w:id="20"/>
      <w:r>
        <w:rPr>
          <w:rFonts w:ascii="Times New Roman" w:hAnsi="Times New Roman"/>
          <w:b/>
          <w:color w:val="000000"/>
          <w:sz w:val="22"/>
        </w:rPr>
        <w:t>Item 6. Exhibits.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exhibits filed as part of this Quarterly Report on Form 10-Q are set forth in the Exhibit Index below, which is incorporated herein by reference.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269"/>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9" w:type="dxa"/>
            <w:tcBorders/>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1 to the Palvella Therapeutics, Inc. 2024 Equity Incentive Plan (incorporated by reference to Exhibit 10.1 to the Registrant’s Form 8-K filed on June 16, 2026).</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vla-ex10_2.htm">
              <w:r>
                <w:rPr>
                  <w:rStyle w:val="InternetLink"/>
                  <w:rFonts w:ascii="Times New Roman" w:hAnsi="Times New Roman"/>
                  <w:color w:val="0000FF"/>
                  <w:sz w:val="20"/>
                  <w:u w:val="single"/>
                </w:rPr>
                <w:t>Form of Notice of Grant of Performance-Based Restricted Stock Unit Award under the Palvella Therapeutics, Inc. 2024 Equity Incentive Plan.</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vl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vl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vl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vl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2"/>
        </w:rPr>
      </w:pPr>
      <w:bookmarkStart w:id="21" w:name="signatures"/>
      <w:bookmarkEnd w:id="21"/>
      <w:r>
        <w:rPr>
          <w:rFonts w:ascii="Times New Roman" w:hAnsi="Times New Roman"/>
          <w:b/>
          <w:color w:val="000000"/>
          <w:sz w:val="22"/>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709" w:type="dxa"/>
        <w:jc w:val="left"/>
        <w:tblInd w:w="0" w:type="dxa"/>
        <w:tblLayout w:type="fixed"/>
        <w:tblCellMar>
          <w:top w:w="28" w:type="dxa"/>
          <w:left w:w="28" w:type="dxa"/>
          <w:bottom w:w="28" w:type="dxa"/>
          <w:right w:w="28" w:type="dxa"/>
        </w:tblCellMar>
      </w:tblPr>
      <w:tblGrid>
        <w:gridCol w:w="1846"/>
        <w:gridCol w:w="146"/>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Palvella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President, 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Chief Financial Officer and Treasurer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2" w:name="pvla-ex10_2.htm"/>
      <w:bookmarkStart w:id="23" w:name="kspvlaex10_2"/>
      <w:bookmarkEnd w:id="22"/>
      <w:bookmarkEnd w:id="2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PALVELLA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2024 EQUITY INCENTIVE PLAN</w:t>
      </w:r>
    </w:p>
    <w:p>
      <w:pPr>
        <w:pStyle w:val="TextBody"/>
        <w:bidi w:val="0"/>
        <w:jc w:val="center"/>
        <w:rPr>
          <w:rFonts w:ascii="Times New Roman" w:hAnsi="Times New Roman"/>
          <w:b/>
          <w:color w:val="000000"/>
          <w:sz w:val="20"/>
        </w:rPr>
      </w:pPr>
      <w:r>
        <w:rPr>
          <w:rFonts w:ascii="Times New Roman" w:hAnsi="Times New Roman"/>
          <w:b/>
          <w:color w:val="000000"/>
          <w:sz w:val="20"/>
        </w:rPr>
        <w:t>NOTICE OF GRANT OF PERFORMANCE-BASED RESTRICTED STOCK UNITS AWARD</w:t>
      </w:r>
    </w:p>
    <w:p>
      <w:pPr>
        <w:pStyle w:val="TextBody"/>
        <w:bidi w:val="0"/>
        <w:jc w:val="both"/>
        <w:rPr>
          <w:rFonts w:ascii="Times New Roman" w:hAnsi="Times New Roman"/>
          <w:sz w:val="20"/>
        </w:rPr>
      </w:pPr>
      <w:r>
        <w:rPr>
          <w:rFonts w:ascii="Times New Roman" w:hAnsi="Times New Roman"/>
          <w:color w:val="000000"/>
          <w:sz w:val="20"/>
        </w:rPr>
        <w:t>Palvella Therapeutics, Inc. (the “</w:t>
      </w:r>
      <w:r>
        <w:rPr>
          <w:rFonts w:ascii="Times New Roman" w:hAnsi="Times New Roman"/>
          <w:color w:val="000000"/>
          <w:sz w:val="20"/>
          <w:u w:val="single"/>
        </w:rPr>
        <w:t>Company</w:t>
      </w:r>
      <w:r>
        <w:rPr>
          <w:rFonts w:ascii="Times New Roman" w:hAnsi="Times New Roman"/>
          <w:color w:val="000000"/>
          <w:sz w:val="20"/>
        </w:rPr>
        <w:t>”), pursuant to its 2024 Equity Incentive Plan (the “</w:t>
      </w:r>
      <w:r>
        <w:rPr>
          <w:rFonts w:ascii="Times New Roman" w:hAnsi="Times New Roman"/>
          <w:color w:val="000000"/>
          <w:sz w:val="20"/>
          <w:u w:val="single"/>
        </w:rPr>
        <w:t>Plan</w:t>
      </w:r>
      <w:r>
        <w:rPr>
          <w:rFonts w:ascii="Times New Roman" w:hAnsi="Times New Roman"/>
          <w:color w:val="000000"/>
          <w:sz w:val="20"/>
        </w:rPr>
        <w:t>”), hereby grants to the individual listed below (the “</w:t>
      </w:r>
      <w:r>
        <w:rPr>
          <w:rFonts w:ascii="Times New Roman" w:hAnsi="Times New Roman"/>
          <w:color w:val="000000"/>
          <w:sz w:val="20"/>
          <w:u w:val="single"/>
        </w:rPr>
        <w:t>Participant</w:t>
      </w:r>
      <w:r>
        <w:rPr>
          <w:rFonts w:ascii="Times New Roman" w:hAnsi="Times New Roman"/>
          <w:color w:val="000000"/>
          <w:sz w:val="20"/>
        </w:rPr>
        <w:t>”) this award of Performance-Based Restricted Stock Units. The Performance-Based Restricted Stock Units described in this Notice of Grant of Performance-Based Restricted Stock Units Award (the “</w:t>
      </w:r>
      <w:r>
        <w:rPr>
          <w:rFonts w:ascii="Times New Roman" w:hAnsi="Times New Roman"/>
          <w:color w:val="000000"/>
          <w:sz w:val="20"/>
          <w:u w:val="single"/>
        </w:rPr>
        <w:t>Notice</w:t>
      </w:r>
      <w:r>
        <w:rPr>
          <w:rFonts w:ascii="Times New Roman" w:hAnsi="Times New Roman"/>
          <w:color w:val="000000"/>
          <w:sz w:val="20"/>
        </w:rPr>
        <w:t xml:space="preserve">”) are subject to the terms and conditions set forth in the Award Agreement attached hereto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color w:val="000000"/>
          <w:sz w:val="20"/>
          <w:u w:val="single"/>
        </w:rPr>
        <w:t>Agreement</w:t>
      </w:r>
      <w:r>
        <w:rPr>
          <w:rFonts w:ascii="Times New Roman" w:hAnsi="Times New Roman"/>
          <w:color w:val="000000"/>
          <w:sz w:val="20"/>
        </w:rPr>
        <w:t>”) and the Plan, each of which is incorporated herein by reference. Unless otherwise defined herein, capitalized terms used in this Notice and the Agreement will have the meanings defined in the Plan.</w:t>
      </w:r>
    </w:p>
    <w:tbl>
      <w:tblPr>
        <w:tblW w:w="10205" w:type="dxa"/>
        <w:jc w:val="left"/>
        <w:tblInd w:w="0" w:type="dxa"/>
        <w:tblLayout w:type="fixed"/>
        <w:tblCellMar>
          <w:top w:w="28" w:type="dxa"/>
          <w:left w:w="28" w:type="dxa"/>
          <w:bottom w:w="28" w:type="dxa"/>
          <w:right w:w="28" w:type="dxa"/>
        </w:tblCellMar>
      </w:tblPr>
      <w:tblGrid>
        <w:gridCol w:w="3253"/>
        <w:gridCol w:w="6952"/>
      </w:tblGrid>
      <w:tr>
        <w:trPr/>
        <w:tc>
          <w:tcPr>
            <w:tcW w:w="3253" w:type="dxa"/>
            <w:tcBorders/>
            <w:vAlign w:val="center"/>
          </w:tcPr>
          <w:p>
            <w:pPr>
              <w:pStyle w:val="TableContents"/>
              <w:bidi w:val="0"/>
              <w:spacing w:before="0" w:after="283"/>
              <w:jc w:val="left"/>
              <w:rPr>
                <w:sz w:val="4"/>
                <w:szCs w:val="4"/>
              </w:rPr>
            </w:pPr>
            <w:r>
              <w:rPr>
                <w:sz w:val="4"/>
                <w:szCs w:val="4"/>
              </w:rPr>
            </w:r>
          </w:p>
        </w:tc>
        <w:tc>
          <w:tcPr>
            <w:tcW w:w="6952" w:type="dxa"/>
            <w:tcBorders/>
            <w:vAlign w:val="center"/>
          </w:tcPr>
          <w:p>
            <w:pPr>
              <w:pStyle w:val="TableContents"/>
              <w:bidi w:val="0"/>
              <w:spacing w:before="0" w:after="283"/>
              <w:jc w:val="left"/>
              <w:rPr>
                <w:sz w:val="4"/>
                <w:szCs w:val="4"/>
              </w:rPr>
            </w:pPr>
            <w:r>
              <w:rPr>
                <w:sz w:val="4"/>
                <w:szCs w:val="4"/>
              </w:rPr>
            </w:r>
          </w:p>
        </w:tc>
      </w:tr>
      <w:tr>
        <w:trPr/>
        <w:tc>
          <w:tcPr>
            <w:tcW w:w="32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Participant:</w:t>
            </w:r>
          </w:p>
        </w:tc>
        <w:tc>
          <w:tcPr>
            <w:tcW w:w="6952"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3253"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Grant Date:</w:t>
            </w:r>
          </w:p>
        </w:tc>
        <w:tc>
          <w:tcPr>
            <w:tcW w:w="695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253"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Total Number of Performance-Based Restricted Stock Units:</w:t>
            </w:r>
          </w:p>
        </w:tc>
        <w:tc>
          <w:tcPr>
            <w:tcW w:w="695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253"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Vesting:</w:t>
            </w:r>
          </w:p>
        </w:tc>
        <w:tc>
          <w:tcPr>
            <w:tcW w:w="695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Subject to the continued service of the Participant through the applicable vesting date, the Performance-Based Restricted Stock Units shall vest as set forth on Appendix A.</w:t>
            </w:r>
          </w:p>
        </w:tc>
      </w:tr>
    </w:tbl>
    <w:p>
      <w:pPr>
        <w:pStyle w:val="TextBody"/>
        <w:bidi w:val="0"/>
        <w:jc w:val="both"/>
        <w:rPr>
          <w:rFonts w:ascii="Times New Roman" w:hAnsi="Times New Roman"/>
          <w:color w:val="000000"/>
          <w:sz w:val="20"/>
        </w:rPr>
      </w:pPr>
      <w:r>
        <w:rPr>
          <w:rFonts w:ascii="Times New Roman" w:hAnsi="Times New Roman"/>
          <w:color w:val="000000"/>
          <w:sz w:val="20"/>
        </w:rPr>
        <w:t>By Participant’s signature and the Company’s signature below, Participant agrees to be bound by the terms and conditions of the Plan, the Agreement and this Notice. Participant has reviewed the Plan, the Agreement and this Notice in their entirety, has had an opportunity to obtain the advice of counsel prior to executing this Notice and fully understands all provisions of this Notice, the Performance-Based Restricted Stock Unit Agreement and the Plan. This document may be executed, including by electronic means, in multiple counterparts, each of which will be deemed an original, and all of which together will be deemed a single instrument.</w:t>
      </w:r>
    </w:p>
    <w:tbl>
      <w:tblPr>
        <w:tblW w:w="4990" w:type="dxa"/>
        <w:jc w:val="left"/>
        <w:tblInd w:w="0" w:type="dxa"/>
        <w:tblLayout w:type="fixed"/>
        <w:tblCellMar>
          <w:top w:w="28" w:type="dxa"/>
          <w:left w:w="28" w:type="dxa"/>
          <w:bottom w:w="28" w:type="dxa"/>
          <w:right w:w="28" w:type="dxa"/>
        </w:tblCellMar>
      </w:tblPr>
      <w:tblGrid>
        <w:gridCol w:w="3286"/>
        <w:gridCol w:w="109"/>
        <w:gridCol w:w="1441"/>
        <w:gridCol w:w="154"/>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PALVELLA THERAPEUTICS, INC.</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PARTICIPANT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Name: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PERFORMANCE-BASED RESTRICTED STOCK UNIT AWARD AGREEMENT</w:t>
      </w:r>
    </w:p>
    <w:p>
      <w:pPr>
        <w:pStyle w:val="TextBody"/>
        <w:bidi w:val="0"/>
        <w:jc w:val="both"/>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u w:val="single"/>
        </w:rPr>
        <w:t>Grant of Award</w:t>
      </w:r>
      <w:r>
        <w:rPr>
          <w:rFonts w:ascii="Times New Roman" w:hAnsi="Times New Roman"/>
          <w:color w:val="000000"/>
          <w:sz w:val="20"/>
        </w:rPr>
        <w:t>. Effective as of the Grant Date set forth in the Notice, the Company has granted to the Participant the number of Performance-Based Restricted Stock Units set forth in the Notice (the “</w:t>
      </w:r>
      <w:r>
        <w:rPr>
          <w:rFonts w:ascii="Times New Roman" w:hAnsi="Times New Roman"/>
          <w:color w:val="000000"/>
          <w:sz w:val="20"/>
          <w:u w:val="single"/>
        </w:rPr>
        <w:t>Award</w:t>
      </w:r>
      <w:r>
        <w:rPr>
          <w:rFonts w:ascii="Times New Roman" w:hAnsi="Times New Roman"/>
          <w:color w:val="000000"/>
          <w:sz w:val="20"/>
        </w:rPr>
        <w:t>”), subject to the restrictions and on the terms and conditions set forth in the Notice, the Plan, and this Agreement. Each Performance-Based Restricted Stock Unit represents the right to receive one Share, subject to the terms and conditions set forth herein.</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u w:val="single"/>
        </w:rPr>
        <w:t>Vesting of Award</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Subject to the continued service of the Participant with the Company through the relevant vesting date(s) or event(s), the Performance-Based Restricted Stock Units shall become vested in such amounts and at such times as set forth in Appendix A.</w:t>
      </w:r>
    </w:p>
    <w:p>
      <w:pPr>
        <w:pStyle w:val="TextBody"/>
        <w:bidi w:val="0"/>
        <w:jc w:val="both"/>
        <w:rPr>
          <w:rFonts w:ascii="Times New Roman" w:hAnsi="Times New Roman"/>
          <w:color w:val="000000"/>
          <w:sz w:val="20"/>
        </w:rPr>
      </w:pPr>
      <w:r>
        <w:rPr>
          <w:rFonts w:ascii="Times New Roman" w:hAnsi="Times New Roman"/>
          <w:color w:val="000000"/>
          <w:sz w:val="20"/>
        </w:rPr>
        <w:t>(b) Upon the cessation of the Participant’s service with the Company for Cause (or a resignation by the Participant at such time as the Company could have terminated the Participant’s service for Cause), (i) any unvested Performance-Based Restricted Stock Units will be forfeited automatically and (ii) any vested Performance-Based Restricted Stock Units for which Shares have not yet been delivered will also be forfeited automatically, and the Participant will have no further rights hereunder.</w:t>
      </w:r>
    </w:p>
    <w:p>
      <w:pPr>
        <w:pStyle w:val="TextBody"/>
        <w:bidi w:val="0"/>
        <w:jc w:val="both"/>
        <w:rPr>
          <w:rFonts w:ascii="Times New Roman" w:hAnsi="Times New Roman"/>
          <w:color w:val="000000"/>
          <w:sz w:val="20"/>
        </w:rPr>
      </w:pPr>
      <w:r>
        <w:rPr>
          <w:rFonts w:ascii="Times New Roman" w:hAnsi="Times New Roman"/>
          <w:color w:val="000000"/>
          <w:sz w:val="20"/>
        </w:rPr>
        <w:t>(c) Unless otherwise provided in the Participant’s employment agreement or in the discretion of the Committee, upon the cessation of the Participant’s service with the Company for any other reason, any unvested Performance-Based Restricted Stock Units will be forfeited automatically and the Participant will have no further rights hereunder.</w:t>
      </w:r>
    </w:p>
    <w:p>
      <w:pPr>
        <w:pStyle w:val="TextBody"/>
        <w:bidi w:val="0"/>
        <w:jc w:val="both"/>
        <w:rPr>
          <w:rFonts w:ascii="Times New Roman" w:hAnsi="Times New Roman"/>
          <w:color w:val="000000"/>
          <w:sz w:val="20"/>
        </w:rPr>
      </w:pPr>
      <w:r>
        <w:rPr>
          <w:rFonts w:ascii="Times New Roman" w:hAnsi="Times New Roman"/>
          <w:color w:val="000000"/>
          <w:sz w:val="20"/>
        </w:rPr>
        <w:t>(d) Solely for purposes of this Agreement, service with the Company will be deemed to include service with an Affiliate of the Company (for only so long as such entity remains an Affiliate of the Company).</w:t>
      </w:r>
    </w:p>
    <w:p>
      <w:pPr>
        <w:pStyle w:val="TextBody"/>
        <w:bidi w:val="0"/>
        <w:jc w:val="both"/>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u w:val="single"/>
        </w:rPr>
        <w:t>Settlement of Award</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One Share will be delivered with respect to each vested Performance-Based Restricted Stock Unit within sixty (60) days following the applicable vesting date or event.</w:t>
      </w:r>
    </w:p>
    <w:p>
      <w:pPr>
        <w:pStyle w:val="TextBody"/>
        <w:bidi w:val="0"/>
        <w:jc w:val="both"/>
        <w:rPr>
          <w:rFonts w:ascii="Times New Roman" w:hAnsi="Times New Roman"/>
          <w:color w:val="000000"/>
          <w:sz w:val="20"/>
        </w:rPr>
      </w:pPr>
      <w:r>
        <w:rPr>
          <w:rFonts w:ascii="Times New Roman" w:hAnsi="Times New Roman"/>
          <w:color w:val="000000"/>
          <w:sz w:val="20"/>
        </w:rPr>
        <w:t>(b) The award of Performance-Based Restricted Stock Units constitutes an unfunded and unsecured obligation of the Company. The Participant shall not have any stockholder rights with respect to the Shares underlying the Performance-Based Restricted Stock Units, in each case, unless and until a Performance-Based Restricted Stock Unit vests and a Share is delivered with respect thereto.</w:t>
      </w:r>
    </w:p>
    <w:p>
      <w:pPr>
        <w:pStyle w:val="TextBody"/>
        <w:bidi w:val="0"/>
        <w:jc w:val="both"/>
        <w:rPr>
          <w:rFonts w:ascii="Times New Roman" w:hAnsi="Times New Roman"/>
          <w:color w:val="000000"/>
          <w:sz w:val="20"/>
        </w:rPr>
      </w:pPr>
      <w:r>
        <w:rPr>
          <w:rFonts w:ascii="Times New Roman" w:hAnsi="Times New Roman"/>
          <w:color w:val="000000"/>
          <w:sz w:val="20"/>
        </w:rPr>
        <w:t xml:space="preserve">(c) Notwithstanding the foregoing, to the extent provided in Prop. Treas. Reg. § 1.409A-1(b)(4)(ii) or any successor provision, the Company may delay settlement of Performance-Based Restricted Stock Units if it reasonably determines that such settlement would violate federal securities laws or any other Applicable Law. </w:t>
      </w:r>
    </w:p>
    <w:p>
      <w:pPr>
        <w:pStyle w:val="TextBody"/>
        <w:bidi w:val="0"/>
        <w:jc w:val="both"/>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u w:val="single"/>
        </w:rPr>
        <w:t>Non-Transferability of Award</w:t>
      </w:r>
      <w:r>
        <w:rPr>
          <w:rFonts w:ascii="Times New Roman" w:hAnsi="Times New Roman"/>
          <w:color w:val="000000"/>
          <w:sz w:val="20"/>
        </w:rPr>
        <w:t>. Except for the forfeiture to the Company, the Performance-Based Restricted Stock Unit and this Award may not be sold, pledged, assigned, hypothecated, gifted, transferred or disposed of in any manner either voluntarily or involuntarily by operation of law or otherwise, other than by will or by the laws of descent and distribution.</w:t>
      </w:r>
    </w:p>
    <w:p>
      <w:pPr>
        <w:pStyle w:val="TextBody"/>
        <w:bidi w:val="0"/>
        <w:jc w:val="both"/>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u w:val="single"/>
        </w:rPr>
        <w:t>Section 409A</w:t>
      </w:r>
      <w:r>
        <w:rPr>
          <w:rFonts w:ascii="Times New Roman" w:hAnsi="Times New Roman"/>
          <w:color w:val="000000"/>
          <w:sz w:val="20"/>
        </w:rPr>
        <w:t>. The Award is intended to be exempt from Section 409A of the Code and should be interpreted accordingly. Nonetheless, the Company does not guarantee the tax treatment of the Award.</w:t>
      </w:r>
    </w:p>
    <w:p>
      <w:pPr>
        <w:pStyle w:val="TextBody"/>
        <w:bidi w:val="0"/>
        <w:jc w:val="both"/>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u w:val="single"/>
        </w:rPr>
        <w:t>Acknowledgements</w:t>
      </w:r>
      <w:r>
        <w:rPr>
          <w:rFonts w:ascii="Times New Roman" w:hAnsi="Times New Roman"/>
          <w:color w:val="000000"/>
          <w:sz w:val="20"/>
        </w:rPr>
        <w:t xml:space="preserve">. The Company may require that certain agreements, undertakings, representations, certificates, legends and/or information or other matters, as the Company may deem necessary or advisable, be executed, agreed to and/or provided to the Company to assure compliance with all such Applicable Laws. Participant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Award is granted, only in such a manner as to conform to such Applicable Laws.</w:t>
      </w:r>
    </w:p>
    <w:p>
      <w:pPr>
        <w:pStyle w:val="TextBody"/>
        <w:bidi w:val="0"/>
        <w:jc w:val="both"/>
        <w:rPr>
          <w:rFonts w:ascii="Times New Roman" w:hAnsi="Times New Roman"/>
          <w:sz w:val="20"/>
        </w:rPr>
      </w:pPr>
      <w:r>
        <w:rPr>
          <w:rFonts w:ascii="Times New Roman" w:hAnsi="Times New Roman"/>
          <w:color w:val="000000"/>
          <w:sz w:val="20"/>
        </w:rPr>
        <w:t xml:space="preserve">7. </w:t>
      </w:r>
      <w:r>
        <w:rPr>
          <w:rFonts w:ascii="Times New Roman" w:hAnsi="Times New Roman"/>
          <w:b/>
          <w:color w:val="000000"/>
          <w:sz w:val="20"/>
          <w:u w:val="single"/>
        </w:rPr>
        <w:t>Tax Consequences</w:t>
      </w:r>
      <w:r>
        <w:rPr>
          <w:rFonts w:ascii="Times New Roman" w:hAnsi="Times New Roman"/>
          <w:color w:val="000000"/>
          <w:sz w:val="20"/>
        </w:rPr>
        <w:t>. Participant acknowledges that the Company has not advised Participant regarding Participant’s income tax liability in connection with the Award and that the Company does not guarantee any particular tax treatment. Participant acknowledges that Participant has reviewed with their own tax advisors the tax treatment of this Award and is relying solely on those advisors in that regard. Participant understands that Participant (and not the Company) will be responsible for their own tax liabilities arising in connection with this Award.</w:t>
      </w:r>
    </w:p>
    <w:p>
      <w:pPr>
        <w:pStyle w:val="TextBody"/>
        <w:bidi w:val="0"/>
        <w:jc w:val="both"/>
        <w:rPr>
          <w:rFonts w:ascii="Times New Roman" w:hAnsi="Times New Roman"/>
          <w:sz w:val="20"/>
        </w:rPr>
      </w:pPr>
      <w:r>
        <w:rPr>
          <w:rFonts w:ascii="Times New Roman" w:hAnsi="Times New Roman"/>
          <w:color w:val="000000"/>
          <w:sz w:val="20"/>
        </w:rPr>
        <w:t xml:space="preserve">8. </w:t>
      </w:r>
      <w:r>
        <w:rPr>
          <w:rFonts w:ascii="Times New Roman" w:hAnsi="Times New Roman"/>
          <w:b/>
          <w:color w:val="000000"/>
          <w:sz w:val="20"/>
          <w:u w:val="single"/>
        </w:rPr>
        <w:t>Clawback Provisions</w:t>
      </w:r>
      <w:r>
        <w:rPr>
          <w:rFonts w:ascii="Times New Roman" w:hAnsi="Times New Roman"/>
          <w:color w:val="000000"/>
          <w:sz w:val="20"/>
        </w:rPr>
        <w:t>. In consideration for the grant of the Award, the Participant agrees to be subject to (i) any compensation, clawback, recoupment or similar policies of the Company or its Affiliates covering the Participant that may be in effect from time to time, whether adopted before or after the Grant Date, and (ii) to such other clawback measures as may be required by Applicable Law ((i) and (ii) together, the “</w:t>
      </w:r>
      <w:r>
        <w:rPr>
          <w:rFonts w:ascii="Times New Roman" w:hAnsi="Times New Roman"/>
          <w:color w:val="000000"/>
          <w:sz w:val="20"/>
          <w:u w:val="single"/>
        </w:rPr>
        <w:t>Clawback Provisions</w:t>
      </w:r>
      <w:r>
        <w:rPr>
          <w:rFonts w:ascii="Times New Roman" w:hAnsi="Times New Roman"/>
          <w:color w:val="000000"/>
          <w:sz w:val="20"/>
        </w:rPr>
        <w:t>”). The Participant understands that the Clawback Provisions are not limited in their application to the Award, or to any equity or cash the Participant may receive in connection with the Award.</w:t>
      </w:r>
    </w:p>
    <w:p>
      <w:pPr>
        <w:pStyle w:val="TextBody"/>
        <w:bidi w:val="0"/>
        <w:jc w:val="both"/>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u w:val="single"/>
        </w:rPr>
        <w:t>Other Company Policies</w:t>
      </w:r>
      <w:r>
        <w:rPr>
          <w:rFonts w:ascii="Times New Roman" w:hAnsi="Times New Roman"/>
          <w:color w:val="000000"/>
          <w:sz w:val="20"/>
        </w:rPr>
        <w:t>. The Participant agrees, in consideration for the grant of the Award, to be subject to any policies of the Company and its Affiliates regarding stock ownership, securities trading, anti-hedging and anti-pledging of securities, and other similar policies, that may be in effect from time to time, or as may otherwise be required by Applicable Law.</w:t>
      </w:r>
    </w:p>
    <w:p>
      <w:pPr>
        <w:pStyle w:val="TextBody"/>
        <w:bidi w:val="0"/>
        <w:jc w:val="both"/>
        <w:rPr>
          <w:rFonts w:ascii="Times New Roman" w:hAnsi="Times New Roman"/>
          <w:sz w:val="20"/>
        </w:rPr>
      </w:pPr>
      <w:r>
        <w:rPr>
          <w:rFonts w:ascii="Times New Roman" w:hAnsi="Times New Roman"/>
          <w:color w:val="000000"/>
          <w:sz w:val="20"/>
        </w:rPr>
        <w:t xml:space="preserve">10. </w:t>
      </w:r>
      <w:r>
        <w:rPr>
          <w:rFonts w:ascii="Times New Roman" w:hAnsi="Times New Roman"/>
          <w:b/>
          <w:color w:val="000000"/>
          <w:sz w:val="20"/>
          <w:u w:val="single"/>
        </w:rPr>
        <w:t>Entire Agreement</w:t>
      </w:r>
      <w:r>
        <w:rPr>
          <w:rFonts w:ascii="Times New Roman" w:hAnsi="Times New Roman"/>
          <w:color w:val="000000"/>
          <w:sz w:val="20"/>
        </w:rPr>
        <w:t>. The Notice and this Agreement, together with the Plan, represent the entire agreement between the parties with respect to the subject matter hereof and supersede any prior agreement, written or otherwise, relating to the subject matter hereof. The Participant hereby agrees to accept as binding, conclusive and final all decisions or interpretations of the Committee with respect to questions arising under the Plan, the Notice, or this Agreement.</w:t>
      </w:r>
    </w:p>
    <w:p>
      <w:pPr>
        <w:pStyle w:val="TextBody"/>
        <w:bidi w:val="0"/>
        <w:jc w:val="both"/>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u w:val="single"/>
        </w:rPr>
        <w:t>Amendment</w:t>
      </w:r>
      <w:r>
        <w:rPr>
          <w:rFonts w:ascii="Times New Roman" w:hAnsi="Times New Roman"/>
          <w:color w:val="000000"/>
          <w:sz w:val="20"/>
        </w:rPr>
        <w:t>. The Notice and this Agreement may only be amended by a writing signed by each of the parties hereto. To the extent permitted by Applicable Laws, the Plan and this Agreement shall be deemed amended to the extent necessary to conform to such Applicable Laws.</w:t>
      </w:r>
    </w:p>
    <w:p>
      <w:pPr>
        <w:pStyle w:val="TextBody"/>
        <w:bidi w:val="0"/>
        <w:jc w:val="both"/>
        <w:rPr>
          <w:rFonts w:ascii="Times New Roman" w:hAnsi="Times New Roman"/>
          <w:sz w:val="20"/>
        </w:rPr>
      </w:pPr>
      <w:r>
        <w:rPr>
          <w:rFonts w:ascii="Times New Roman" w:hAnsi="Times New Roman"/>
          <w:color w:val="000000"/>
          <w:sz w:val="20"/>
        </w:rPr>
        <w:t xml:space="preserve">12. </w:t>
      </w:r>
      <w:r>
        <w:rPr>
          <w:rFonts w:ascii="Times New Roman" w:hAnsi="Times New Roman"/>
          <w:b/>
          <w:color w:val="000000"/>
          <w:sz w:val="20"/>
          <w:u w:val="single"/>
        </w:rPr>
        <w:t>Successors and Assigns</w:t>
      </w:r>
      <w:r>
        <w:rPr>
          <w:rFonts w:ascii="Times New Roman" w:hAnsi="Times New Roman"/>
          <w:color w:val="000000"/>
          <w:sz w:val="20"/>
        </w:rPr>
        <w:t>. This Agreement and the Notice shall be binding upon the heirs, executors, administrators and successors of the parties hereto. Neither this Agreement nor any rights or interest hereunder shall be assignable by the Participant, his or her beneficiaries or legal representatives, and any purported assignment in violation hereof shall be void ab initio and of no force or effect.</w:t>
      </w:r>
    </w:p>
    <w:p>
      <w:pPr>
        <w:pStyle w:val="TextBody"/>
        <w:bidi w:val="0"/>
        <w:jc w:val="both"/>
        <w:rPr>
          <w:rFonts w:ascii="Times New Roman" w:hAnsi="Times New Roman"/>
          <w:sz w:val="20"/>
        </w:rPr>
      </w:pPr>
      <w:r>
        <w:rPr>
          <w:rFonts w:ascii="Times New Roman" w:hAnsi="Times New Roman"/>
          <w:color w:val="000000"/>
          <w:sz w:val="20"/>
        </w:rPr>
        <w:t xml:space="preserve">13. </w:t>
      </w:r>
      <w:r>
        <w:rPr>
          <w:rFonts w:ascii="Times New Roman" w:hAnsi="Times New Roman"/>
          <w:b/>
          <w:color w:val="000000"/>
          <w:sz w:val="20"/>
          <w:u w:val="single"/>
        </w:rPr>
        <w:t>Waiver</w:t>
      </w:r>
      <w:r>
        <w:rPr>
          <w:rFonts w:ascii="Times New Roman" w:hAnsi="Times New Roman"/>
          <w:color w:val="000000"/>
          <w:sz w:val="20"/>
        </w:rPr>
        <w:t>. Either party’s failure to enforce any provision or provisions of this Agreement shall not in any way be construed as a waiver of any such provision or provisions, nor prevent that party thereafter from enforcing each and every other provision of this Agreement. The rights granted both parties herein are cumulative and shall not constitute a waiver of either party’s right to assert all other legal remedies available to it under the circumstances.</w:t>
      </w:r>
    </w:p>
    <w:p>
      <w:pPr>
        <w:pStyle w:val="TextBody"/>
        <w:bidi w:val="0"/>
        <w:jc w:val="both"/>
        <w:rPr>
          <w:rFonts w:ascii="Times New Roman" w:hAnsi="Times New Roman"/>
          <w:sz w:val="20"/>
        </w:rPr>
      </w:pPr>
      <w:r>
        <w:rPr>
          <w:rFonts w:ascii="Times New Roman" w:hAnsi="Times New Roman"/>
          <w:color w:val="000000"/>
          <w:sz w:val="20"/>
        </w:rPr>
        <w:t xml:space="preserve">14. </w:t>
      </w:r>
      <w:r>
        <w:rPr>
          <w:rFonts w:ascii="Times New Roman" w:hAnsi="Times New Roman"/>
          <w:b/>
          <w:color w:val="000000"/>
          <w:sz w:val="20"/>
          <w:u w:val="single"/>
        </w:rPr>
        <w:t>No Right to Continued Service</w:t>
      </w:r>
      <w:r>
        <w:rPr>
          <w:rFonts w:ascii="Times New Roman" w:hAnsi="Times New Roman"/>
          <w:color w:val="000000"/>
          <w:sz w:val="20"/>
        </w:rPr>
        <w:t>. Neither the Plan nor this Agreement will confer upon Participant any right to continue in the service of the Company or any of its Affiliates, or limit in any respect the right of the Company or its Affiliates to discharge Participant at any time, with or without Cause and with or without notice.</w:t>
      </w:r>
    </w:p>
    <w:p>
      <w:pPr>
        <w:pStyle w:val="TextBody"/>
        <w:bidi w:val="0"/>
        <w:jc w:val="both"/>
        <w:rPr>
          <w:rFonts w:ascii="Times New Roman" w:hAnsi="Times New Roman"/>
          <w:sz w:val="20"/>
        </w:rPr>
      </w:pPr>
      <w:r>
        <w:rPr>
          <w:rFonts w:ascii="Times New Roman" w:hAnsi="Times New Roman"/>
          <w:color w:val="000000"/>
          <w:sz w:val="20"/>
        </w:rPr>
        <w:t xml:space="preserve">15. </w:t>
      </w:r>
      <w:r>
        <w:rPr>
          <w:rFonts w:ascii="Times New Roman" w:hAnsi="Times New Roman"/>
          <w:b/>
          <w:color w:val="000000"/>
          <w:sz w:val="20"/>
          <w:u w:val="single"/>
        </w:rPr>
        <w:t>Tax Withholding</w:t>
      </w:r>
      <w:r>
        <w:rPr>
          <w:rFonts w:ascii="Times New Roman" w:hAnsi="Times New Roman"/>
          <w:color w:val="000000"/>
          <w:sz w:val="20"/>
        </w:rPr>
        <w:t xml:space="preserve">. The Company is hereby authorized to withhold from any consideration payable or property transferable to Participant any taxes required to be withheld by applicable law in connection with the grant or settlement of this Award. The Company shall have the right to require the Participant to remit to the Company an amount sufficient to satisfy any federal, state and local withholding tax requirements prior to the issuance of any Shares. The Participant may satisfy the applicable withholding tax obligations by paying the amount of any taxes in cash, or, to the extent permitted by the Committee, Shares or other securities may be delivered to the Company or deducted from the number of Shares to be issued to the Participant pursuant to this Agreement to satisfy the obligation in full or in part as long as such withholding of Shares does not violate any applicable laws, rules, or regulations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federal, state, or local authorities (including Section 16 of the Securities Exchange Act of 1934, and the rules promulgated thereunder, if applicable). The Participant shall make such payment or arrangement no later than the date as of which an amount first becomes includible in the gross income of the Participant for federal income tax purposes with respect to any Shares. The obligations of the Company under the Plan are conditioned on such payment or arrangement and the Company, to the extent permitted by law, has the right to deduct any such taxes from any distribution of any kind otherwise due to the Participant.</w:t>
      </w:r>
    </w:p>
    <w:p>
      <w:pPr>
        <w:pStyle w:val="TextBody"/>
        <w:bidi w:val="0"/>
        <w:jc w:val="both"/>
        <w:rPr>
          <w:rFonts w:ascii="Times New Roman" w:hAnsi="Times New Roman"/>
          <w:sz w:val="20"/>
        </w:rPr>
      </w:pPr>
      <w:r>
        <w:rPr>
          <w:rFonts w:ascii="Times New Roman" w:hAnsi="Times New Roman"/>
          <w:color w:val="000000"/>
          <w:sz w:val="20"/>
        </w:rPr>
        <w:t xml:space="preserve">16. </w:t>
      </w:r>
      <w:r>
        <w:rPr>
          <w:rFonts w:ascii="Times New Roman" w:hAnsi="Times New Roman"/>
          <w:b/>
          <w:color w:val="000000"/>
          <w:sz w:val="20"/>
          <w:u w:val="single"/>
        </w:rPr>
        <w:t>Governing Law; Severability</w:t>
      </w:r>
      <w:r>
        <w:rPr>
          <w:rFonts w:ascii="Times New Roman" w:hAnsi="Times New Roman"/>
          <w:color w:val="000000"/>
          <w:sz w:val="20"/>
        </w:rPr>
        <w:t>. This Agreement shall be construed and interpreted in accordance with the laws of the State of Delaware, without regard to the principles of conflicts of law thereof. Should any provision of this Agreement be determined by a court of law to be illegal or unenforceable, the other provisions shall nevertheless remain effective and shall remain enforceable.</w:t>
      </w:r>
    </w:p>
    <w:p>
      <w:pPr>
        <w:pStyle w:val="TextBody"/>
        <w:bidi w:val="0"/>
        <w:jc w:val="both"/>
        <w:rPr>
          <w:rFonts w:ascii="Times New Roman" w:hAnsi="Times New Roman"/>
          <w:sz w:val="20"/>
        </w:rPr>
      </w:pPr>
      <w:r>
        <w:rPr>
          <w:rFonts w:ascii="Times New Roman" w:hAnsi="Times New Roman"/>
          <w:color w:val="000000"/>
          <w:sz w:val="20"/>
        </w:rPr>
        <w:t xml:space="preserve">17. </w:t>
      </w:r>
      <w:r>
        <w:rPr>
          <w:rFonts w:ascii="Times New Roman" w:hAnsi="Times New Roman"/>
          <w:b/>
          <w:color w:val="000000"/>
          <w:sz w:val="20"/>
          <w:u w:val="single"/>
        </w:rPr>
        <w:t>Electronic Delivery of Documents</w:t>
      </w:r>
      <w:r>
        <w:rPr>
          <w:rFonts w:ascii="Times New Roman" w:hAnsi="Times New Roman"/>
          <w:color w:val="000000"/>
          <w:sz w:val="20"/>
        </w:rPr>
        <w:t>. The Company may, in its sole discretion, decide to deliver any documents related to the Notice, the Plan or this Agreement or any notices required by applicable law or the Company’s Articles of Incorporation or Bylaws by email or any other electronic means. The Participant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purposes hereof, the “</w:t>
      </w:r>
      <w:r>
        <w:rPr>
          <w:rFonts w:ascii="Times New Roman" w:hAnsi="Times New Roman"/>
          <w:color w:val="000000"/>
          <w:sz w:val="20"/>
          <w:u w:val="single"/>
        </w:rPr>
        <w:t>Performance Goals</w:t>
      </w:r>
      <w:r>
        <w:rPr>
          <w:rFonts w:ascii="Times New Roman" w:hAnsi="Times New Roman"/>
          <w:color w:val="000000"/>
          <w:sz w:val="20"/>
        </w:rPr>
        <w:t>” shall mean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pvla-ex31_1.htm"/>
      <w:bookmarkStart w:id="25" w:name="kspvla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Wesley Kaupinen,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Palvella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vla-ex31_2.htm"/>
      <w:bookmarkStart w:id="27" w:name="kspvla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Korenberg,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Palvella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7709" w:type="dxa"/>
        <w:jc w:val="left"/>
        <w:tblInd w:w="0" w:type="dxa"/>
        <w:tblLayout w:type="fixed"/>
        <w:tblCellMar>
          <w:top w:w="28" w:type="dxa"/>
          <w:left w:w="28" w:type="dxa"/>
          <w:bottom w:w="28" w:type="dxa"/>
          <w:right w:w="28" w:type="dxa"/>
        </w:tblCellMar>
      </w:tblPr>
      <w:tblGrid>
        <w:gridCol w:w="1846"/>
        <w:gridCol w:w="146"/>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and Treasurer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vla-ex32_1.htm"/>
      <w:bookmarkStart w:id="29" w:name="kspvla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Palvella Therapeutics, Inc. (the “Company”) on Form 10-Q for the period ending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(15 U.S.C. 78m or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Wesley H. Kaupinen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pvla-ex32_2.htm"/>
      <w:bookmarkStart w:id="31" w:name="kspvla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Palvella Therapeutics, Inc. (the “Company”) on Form 10-Q for the period ending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(15 U.S.C. 78m or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709" w:type="dxa"/>
        <w:jc w:val="left"/>
        <w:tblInd w:w="0" w:type="dxa"/>
        <w:tblLayout w:type="fixed"/>
        <w:tblCellMar>
          <w:top w:w="28" w:type="dxa"/>
          <w:left w:w="28" w:type="dxa"/>
          <w:bottom w:w="28" w:type="dxa"/>
          <w:right w:w="28" w:type="dxa"/>
        </w:tblCellMar>
      </w:tblPr>
      <w:tblGrid>
        <w:gridCol w:w="1846"/>
        <w:gridCol w:w="146"/>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E. Korenberg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and Treasurer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3648/000110465926074338/tm2618003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24623</Words>
  <Characters>137239</Characters>
  <CharactersWithSpaces>162342</CharactersWithSpaces>
  <Paragraphs>4609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