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6374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6374130"/>
                    </a:xfrm>
                    <a:prstGeom prst="rect">
                      <a:avLst/>
                    </a:prstGeom>
                    <a:noFill/>
                  </pic:spPr>
                </pic:pic>
              </a:graphicData>
            </a:graphic>
          </wp:anchor>
        </w:drawing>
      </w:r>
    </w:p>
    <w:p>
      <w:pPr>
        <w:spacing w:after="0" w:line="1245" w:lineRule="exact"/>
        <w:rPr>
          <w:sz w:val="24"/>
          <w:szCs w:val="24"/>
          <w:color w:val="auto"/>
        </w:rPr>
      </w:pPr>
    </w:p>
    <w:p>
      <w:pPr>
        <w:sectPr>
          <w:pgSz w:w="11900" w:h="16838" w:orient="portrait"/>
          <w:cols w:equalWidth="0" w:num="2">
            <w:col w:w="2300" w:space="260"/>
            <w:col w:w="8520"/>
          </w:cols>
          <w:pgMar w:left="460" w:top="216" w:right="359" w:bottom="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Goin Kathleen</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540"/>
        <w:spacing w:after="0" w:line="383" w:lineRule="auto"/>
        <w:rPr>
          <w:sz w:val="20"/>
          <w:szCs w:val="20"/>
          <w:color w:val="auto"/>
        </w:rPr>
      </w:pPr>
      <w:r>
        <w:rPr>
          <w:rFonts w:ascii="Times New Roman" w:cs="Times New Roman" w:eastAsia="Times New Roman" w:hAnsi="Times New Roman"/>
          <w:sz w:val="16"/>
          <w:szCs w:val="16"/>
          <w:color w:val="0000FF"/>
        </w:rPr>
        <w:t>C/O PALVELLA THERAPEUTICS, INC. 353 W. LANCASTER AVENUE, SUITE 200</w:t>
      </w:r>
    </w:p>
    <w:p>
      <w:pPr>
        <w:spacing w:after="0" w:line="153"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WAYNE</w:t>
            </w:r>
          </w:p>
        </w:tc>
        <w:tc>
          <w:tcPr>
            <w:tcW w:w="112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PA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19087</w:t>
            </w:r>
          </w:p>
        </w:tc>
      </w:tr>
      <w:tr>
        <w:trPr>
          <w:trHeight w:val="151"/>
        </w:trPr>
        <w:tc>
          <w:tcPr>
            <w:tcW w:w="2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(City)</w:t>
            </w:r>
          </w:p>
        </w:tc>
        <w:tc>
          <w:tcPr>
            <w:tcW w:w="1120" w:type="dxa"/>
            <w:vAlign w:val="bottom"/>
          </w:tcPr>
          <w:p>
            <w:pPr>
              <w:ind w:left="3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8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PALVELLA THERAPEUTICS, INC. </w:t>
              </w:r>
            </w:hyperlink>
            <w:r>
              <w:rPr>
                <w:rFonts w:ascii="Times New Roman" w:cs="Times New Roman" w:eastAsia="Times New Roman" w:hAnsi="Times New Roman"/>
                <w:sz w:val="21"/>
                <w:szCs w:val="21"/>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80" w:type="dxa"/>
            <w:vAlign w:val="bottom"/>
          </w:tcPr>
          <w:p>
            <w:pPr>
              <w:spacing w:after="0"/>
              <w:rPr>
                <w:sz w:val="12"/>
                <w:szCs w:val="12"/>
                <w:color w:val="auto"/>
              </w:rPr>
            </w:pPr>
          </w:p>
        </w:tc>
        <w:tc>
          <w:tcPr>
            <w:tcW w:w="3120" w:type="dxa"/>
            <w:vAlign w:val="bottom"/>
            <w:tcBorders>
              <w:top w:val="single" w:sz="8" w:color="0000EE"/>
            </w:tcBorders>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PVLA </w:t>
            </w:r>
            <w:r>
              <w:rPr>
                <w:rFonts w:ascii="Times New Roman" w:cs="Times New Roman" w:eastAsia="Times New Roman" w:hAnsi="Times New Roman"/>
                <w:sz w:val="20"/>
                <w:szCs w:val="20"/>
                <w:color w:val="000000"/>
              </w:rPr>
              <w:t>]</w:t>
            </w:r>
          </w:p>
        </w:tc>
        <w:tc>
          <w:tcPr>
            <w:tcW w:w="64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tcPr>
          <w:p>
            <w:pPr>
              <w:ind w:left="4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6"/>
        </w:trPr>
        <w:tc>
          <w:tcPr>
            <w:tcW w:w="80" w:type="dxa"/>
            <w:vAlign w:val="bottom"/>
          </w:tcPr>
          <w:p>
            <w:pPr>
              <w:spacing w:after="0"/>
              <w:rPr>
                <w:sz w:val="10"/>
                <w:szCs w:val="10"/>
                <w:color w:val="auto"/>
              </w:rPr>
            </w:pPr>
          </w:p>
        </w:tc>
        <w:tc>
          <w:tcPr>
            <w:tcW w:w="3120" w:type="dxa"/>
            <w:vAlign w:val="bottom"/>
            <w:gridSpan w:val="2"/>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8"/>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300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2"/>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5"/>
                <w:szCs w:val="15"/>
                <w:color w:val="auto"/>
              </w:rPr>
            </w:pPr>
          </w:p>
        </w:tc>
        <w:tc>
          <w:tcPr>
            <w:tcW w:w="3100" w:type="dxa"/>
            <w:vAlign w:val="bottom"/>
            <w:gridSpan w:val="2"/>
          </w:tcPr>
          <w:p>
            <w:pPr>
              <w:ind w:left="660"/>
              <w:spacing w:after="0" w:line="182" w:lineRule="exact"/>
              <w:rPr>
                <w:sz w:val="20"/>
                <w:szCs w:val="20"/>
                <w:color w:val="auto"/>
              </w:rPr>
            </w:pPr>
            <w:r>
              <w:rPr>
                <w:rFonts w:ascii="Times New Roman" w:cs="Times New Roman" w:eastAsia="Times New Roman" w:hAnsi="Times New Roman"/>
                <w:sz w:val="17"/>
                <w:szCs w:val="17"/>
                <w:color w:val="0000FF"/>
              </w:rPr>
              <w:t>Chief Operating Officer</w:t>
            </w:r>
          </w:p>
        </w:tc>
        <w:tc>
          <w:tcPr>
            <w:tcW w:w="0" w:type="dxa"/>
            <w:vAlign w:val="bottom"/>
          </w:tcPr>
          <w:p>
            <w:pPr>
              <w:spacing w:after="0"/>
              <w:rPr>
                <w:sz w:val="1"/>
                <w:szCs w:val="1"/>
                <w:color w:val="auto"/>
              </w:rPr>
            </w:pPr>
          </w:p>
        </w:tc>
      </w:tr>
      <w:tr>
        <w:trPr>
          <w:trHeight w:val="218"/>
        </w:trPr>
        <w:tc>
          <w:tcPr>
            <w:tcW w:w="32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06/17/2026</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300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spacing w:after="0"/>
              <w:rPr>
                <w:sz w:val="15"/>
                <w:szCs w:val="15"/>
                <w:color w:val="auto"/>
              </w:rPr>
            </w:pPr>
          </w:p>
        </w:tc>
        <w:tc>
          <w:tcPr>
            <w:tcW w:w="180" w:type="dxa"/>
            <w:vAlign w:val="bottom"/>
            <w:tcBorders>
              <w:bottom w:val="single" w:sz="8" w:color="2C2C2C"/>
            </w:tcBorders>
          </w:tcPr>
          <w:p>
            <w:pPr>
              <w:spacing w:after="0"/>
              <w:rPr>
                <w:sz w:val="15"/>
                <w:szCs w:val="15"/>
                <w:color w:val="auto"/>
              </w:rPr>
            </w:pPr>
          </w:p>
        </w:tc>
        <w:tc>
          <w:tcPr>
            <w:tcW w:w="3100" w:type="dxa"/>
            <w:vAlign w:val="bottom"/>
            <w:tcBorders>
              <w:bottom w:val="single" w:sz="8" w:color="2C2C2C"/>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396" w:lineRule="exact"/>
        <w:rPr>
          <w:sz w:val="24"/>
          <w:szCs w:val="24"/>
          <w:color w:val="auto"/>
        </w:rPr>
      </w:pPr>
    </w:p>
    <w:p>
      <w:pPr>
        <w:sectPr>
          <w:pgSz w:w="11900" w:h="16838" w:orient="portrait"/>
          <w:cols w:equalWidth="0" w:num="2">
            <w:col w:w="3760" w:space="80"/>
            <w:col w:w="724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440"/>
              <w:spacing w:after="0" w:line="129"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200" w:type="dxa"/>
            <w:vAlign w:val="bottom"/>
          </w:tcPr>
          <w:p>
            <w:pPr>
              <w:spacing w:after="0"/>
              <w:rPr>
                <w:sz w:val="11"/>
                <w:szCs w:val="11"/>
                <w:color w:val="auto"/>
              </w:rPr>
            </w:pPr>
          </w:p>
        </w:tc>
        <w:tc>
          <w:tcPr>
            <w:tcW w:w="11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gridSpan w:val="2"/>
          </w:tcPr>
          <w:p>
            <w:pPr>
              <w:jc w:val="center"/>
              <w:ind w:left="27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4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76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1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11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jc w:val="center"/>
              <w:ind w:left="290"/>
              <w:spacing w:after="0"/>
              <w:rPr>
                <w:sz w:val="20"/>
                <w:szCs w:val="20"/>
                <w:color w:val="auto"/>
              </w:rPr>
            </w:pPr>
            <w:r>
              <w:rPr>
                <w:rFonts w:ascii="Times New Roman" w:cs="Times New Roman" w:eastAsia="Times New Roman" w:hAnsi="Times New Roman"/>
                <w:sz w:val="17"/>
                <w:szCs w:val="17"/>
                <w:color w:val="0000FF"/>
              </w:rPr>
              <w:t>06/17/2026</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63"/>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2,154</w:t>
            </w:r>
          </w:p>
        </w:tc>
        <w:tc>
          <w:tcPr>
            <w:tcW w:w="5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1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7.14</w:t>
            </w: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2,154</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jc w:val="center"/>
              <w:ind w:left="290"/>
              <w:spacing w:after="0"/>
              <w:rPr>
                <w:sz w:val="20"/>
                <w:szCs w:val="20"/>
                <w:color w:val="auto"/>
              </w:rPr>
            </w:pPr>
            <w:r>
              <w:rPr>
                <w:rFonts w:ascii="Times New Roman" w:cs="Times New Roman" w:eastAsia="Times New Roman" w:hAnsi="Times New Roman"/>
                <w:sz w:val="17"/>
                <w:szCs w:val="17"/>
                <w:color w:val="0000FF"/>
              </w:rPr>
              <w:t>06/17/2026</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63"/>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2,148</w:t>
            </w:r>
          </w:p>
        </w:tc>
        <w:tc>
          <w:tcPr>
            <w:tcW w:w="5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1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9.08</w:t>
            </w: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4,302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jc w:val="center"/>
              <w:ind w:left="290"/>
              <w:spacing w:after="0"/>
              <w:rPr>
                <w:sz w:val="20"/>
                <w:szCs w:val="20"/>
                <w:color w:val="auto"/>
              </w:rPr>
            </w:pPr>
            <w:r>
              <w:rPr>
                <w:rFonts w:ascii="Times New Roman" w:cs="Times New Roman" w:eastAsia="Times New Roman" w:hAnsi="Times New Roman"/>
                <w:sz w:val="17"/>
                <w:szCs w:val="17"/>
                <w:color w:val="0000FF"/>
              </w:rPr>
              <w:t>06/17/2026</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63"/>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2,390</w:t>
            </w:r>
          </w:p>
        </w:tc>
        <w:tc>
          <w:tcPr>
            <w:tcW w:w="5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96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110.2594</w:t>
            </w:r>
            <w:r>
              <w:rPr>
                <w:rFonts w:ascii="Times New Roman" w:cs="Times New Roman" w:eastAsia="Times New Roman" w:hAnsi="Times New Roman"/>
                <w:sz w:val="21"/>
                <w:szCs w:val="21"/>
                <w:color w:val="008000"/>
                <w:w w:val="93"/>
                <w:vertAlign w:val="superscript"/>
              </w:rPr>
              <w:t>(2)</w:t>
            </w:r>
          </w:p>
        </w:tc>
        <w:tc>
          <w:tcPr>
            <w:tcW w:w="114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1,912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jc w:val="center"/>
              <w:ind w:left="290"/>
              <w:spacing w:after="0"/>
              <w:rPr>
                <w:sz w:val="20"/>
                <w:szCs w:val="20"/>
                <w:color w:val="auto"/>
              </w:rPr>
            </w:pPr>
            <w:r>
              <w:rPr>
                <w:rFonts w:ascii="Times New Roman" w:cs="Times New Roman" w:eastAsia="Times New Roman" w:hAnsi="Times New Roman"/>
                <w:sz w:val="17"/>
                <w:szCs w:val="17"/>
                <w:color w:val="0000FF"/>
              </w:rPr>
              <w:t>06/17/2026</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63"/>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1,887</w:t>
            </w:r>
          </w:p>
        </w:tc>
        <w:tc>
          <w:tcPr>
            <w:tcW w:w="5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96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111.3128</w:t>
            </w:r>
            <w:r>
              <w:rPr>
                <w:rFonts w:ascii="Times New Roman" w:cs="Times New Roman" w:eastAsia="Times New Roman" w:hAnsi="Times New Roman"/>
                <w:sz w:val="21"/>
                <w:szCs w:val="21"/>
                <w:color w:val="008000"/>
                <w:w w:val="93"/>
                <w:vertAlign w:val="superscript"/>
              </w:rPr>
              <w:t>(3)</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417"/>
              <w:spacing w:after="0"/>
              <w:rPr>
                <w:sz w:val="20"/>
                <w:szCs w:val="20"/>
                <w:color w:val="auto"/>
              </w:rPr>
            </w:pPr>
            <w:r>
              <w:rPr>
                <w:rFonts w:ascii="Times New Roman" w:cs="Times New Roman" w:eastAsia="Times New Roman" w:hAnsi="Times New Roman"/>
                <w:sz w:val="17"/>
                <w:szCs w:val="17"/>
                <w:color w:val="0000FF"/>
              </w:rPr>
              <w:t>25</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jc w:val="center"/>
              <w:ind w:left="290"/>
              <w:spacing w:after="0"/>
              <w:rPr>
                <w:sz w:val="20"/>
                <w:szCs w:val="20"/>
                <w:color w:val="auto"/>
              </w:rPr>
            </w:pPr>
            <w:r>
              <w:rPr>
                <w:rFonts w:ascii="Times New Roman" w:cs="Times New Roman" w:eastAsia="Times New Roman" w:hAnsi="Times New Roman"/>
                <w:sz w:val="17"/>
                <w:szCs w:val="17"/>
                <w:color w:val="0000FF"/>
              </w:rPr>
              <w:t>06/17/2026</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63"/>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25</w:t>
            </w:r>
          </w:p>
        </w:tc>
        <w:tc>
          <w:tcPr>
            <w:tcW w:w="5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1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112.23</w:t>
            </w:r>
          </w:p>
        </w:tc>
        <w:tc>
          <w:tcPr>
            <w:tcW w:w="2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417"/>
              <w:spacing w:after="0"/>
              <w:rPr>
                <w:sz w:val="20"/>
                <w:szCs w:val="20"/>
                <w:color w:val="auto"/>
              </w:rPr>
            </w:pPr>
            <w:r>
              <w:rPr>
                <w:rFonts w:ascii="Times New Roman" w:cs="Times New Roman" w:eastAsia="Times New Roman" w:hAnsi="Times New Roman"/>
                <w:sz w:val="17"/>
                <w:szCs w:val="17"/>
                <w:color w:val="0000FF"/>
              </w:rPr>
              <w:t>0</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12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96"/>
              </w:rPr>
              <w:t>Amount of</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180" w:type="dxa"/>
            <w:vAlign w:val="bottom"/>
          </w:tcPr>
          <w:p>
            <w:pPr>
              <w:spacing w:after="0"/>
              <w:rPr>
                <w:sz w:val="13"/>
                <w:szCs w:val="13"/>
                <w:color w:val="auto"/>
              </w:rPr>
            </w:pPr>
          </w:p>
        </w:tc>
        <w:tc>
          <w:tcPr>
            <w:tcW w:w="58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7.14</w:t>
            </w:r>
          </w:p>
        </w:tc>
        <w:tc>
          <w:tcPr>
            <w:tcW w:w="1080" w:type="dxa"/>
            <w:vAlign w:val="bottom"/>
          </w:tcPr>
          <w:p>
            <w:pPr>
              <w:jc w:val="right"/>
              <w:ind w:right="175"/>
              <w:spacing w:after="0"/>
              <w:rPr>
                <w:sz w:val="20"/>
                <w:szCs w:val="20"/>
                <w:color w:val="auto"/>
              </w:rPr>
            </w:pPr>
            <w:r>
              <w:rPr>
                <w:rFonts w:ascii="Times New Roman" w:cs="Times New Roman" w:eastAsia="Times New Roman" w:hAnsi="Times New Roman"/>
                <w:sz w:val="13"/>
                <w:szCs w:val="13"/>
                <w:color w:val="0000FF"/>
              </w:rPr>
              <w:t>06/17/2026</w:t>
            </w:r>
          </w:p>
        </w:tc>
        <w:tc>
          <w:tcPr>
            <w:tcW w:w="1100" w:type="dxa"/>
            <w:vAlign w:val="bottom"/>
          </w:tcPr>
          <w:p>
            <w:pPr>
              <w:spacing w:after="0"/>
              <w:rPr>
                <w:sz w:val="16"/>
                <w:szCs w:val="16"/>
                <w:color w:val="auto"/>
              </w:rPr>
            </w:pPr>
          </w:p>
        </w:tc>
        <w:tc>
          <w:tcPr>
            <w:tcW w:w="400" w:type="dxa"/>
            <w:vAlign w:val="bottom"/>
          </w:tcPr>
          <w:p>
            <w:pPr>
              <w:ind w:left="100"/>
              <w:spacing w:after="0" w:line="194"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420" w:type="dxa"/>
            <w:vAlign w:val="bottom"/>
          </w:tcPr>
          <w:p>
            <w:pPr>
              <w:spacing w:after="0"/>
              <w:rPr>
                <w:sz w:val="16"/>
                <w:szCs w:val="16"/>
                <w:color w:val="auto"/>
              </w:rPr>
            </w:pPr>
          </w:p>
        </w:tc>
        <w:tc>
          <w:tcPr>
            <w:tcW w:w="68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0000FF"/>
              </w:rPr>
              <w:t>2,154</w:t>
            </w:r>
          </w:p>
        </w:tc>
        <w:tc>
          <w:tcPr>
            <w:tcW w:w="780" w:type="dxa"/>
            <w:vAlign w:val="bottom"/>
          </w:tcPr>
          <w:p>
            <w:pPr>
              <w:ind w:left="380"/>
              <w:spacing w:after="0"/>
              <w:rPr>
                <w:sz w:val="20"/>
                <w:szCs w:val="20"/>
                <w:color w:val="auto"/>
              </w:rPr>
            </w:pPr>
            <w:r>
              <w:rPr>
                <w:rFonts w:ascii="Times New Roman" w:cs="Times New Roman" w:eastAsia="Times New Roman" w:hAnsi="Times New Roman"/>
                <w:sz w:val="11"/>
                <w:szCs w:val="11"/>
                <w:color w:val="008000"/>
              </w:rPr>
              <w:t>(4)</w:t>
            </w:r>
          </w:p>
        </w:tc>
        <w:tc>
          <w:tcPr>
            <w:tcW w:w="76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10/29/2029</w:t>
            </w:r>
          </w:p>
        </w:tc>
        <w:tc>
          <w:tcPr>
            <w:tcW w:w="68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0000FF"/>
              </w:rPr>
              <w:t>Common</w:t>
            </w:r>
          </w:p>
        </w:tc>
        <w:tc>
          <w:tcPr>
            <w:tcW w:w="5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2,154</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ind w:left="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70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8,627</w:t>
            </w:r>
          </w:p>
        </w:tc>
        <w:tc>
          <w:tcPr>
            <w:tcW w:w="26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tcPr>
          <w:p>
            <w:pPr>
              <w:ind w:left="60"/>
              <w:spacing w:after="0" w:line="92"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ind w:left="180"/>
              <w:spacing w:after="0" w:line="92" w:lineRule="exact"/>
              <w:rPr>
                <w:sz w:val="20"/>
                <w:szCs w:val="20"/>
                <w:color w:val="auto"/>
              </w:rPr>
            </w:pPr>
            <w:r>
              <w:rPr>
                <w:rFonts w:ascii="Times New Roman" w:cs="Times New Roman" w:eastAsia="Times New Roman" w:hAnsi="Times New Roman"/>
                <w:sz w:val="10"/>
                <w:szCs w:val="10"/>
                <w:color w:val="0000FF"/>
              </w:rPr>
              <w:t>Stock</w:t>
            </w: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9.08</w:t>
            </w:r>
          </w:p>
        </w:tc>
        <w:tc>
          <w:tcPr>
            <w:tcW w:w="1080" w:type="dxa"/>
            <w:vAlign w:val="bottom"/>
          </w:tcPr>
          <w:p>
            <w:pPr>
              <w:jc w:val="right"/>
              <w:ind w:right="175"/>
              <w:spacing w:after="0"/>
              <w:rPr>
                <w:sz w:val="20"/>
                <w:szCs w:val="20"/>
                <w:color w:val="auto"/>
              </w:rPr>
            </w:pPr>
            <w:r>
              <w:rPr>
                <w:rFonts w:ascii="Times New Roman" w:cs="Times New Roman" w:eastAsia="Times New Roman" w:hAnsi="Times New Roman"/>
                <w:sz w:val="13"/>
                <w:szCs w:val="13"/>
                <w:color w:val="0000FF"/>
              </w:rPr>
              <w:t>06/17/2026</w:t>
            </w:r>
          </w:p>
        </w:tc>
        <w:tc>
          <w:tcPr>
            <w:tcW w:w="1100" w:type="dxa"/>
            <w:vAlign w:val="bottom"/>
          </w:tcPr>
          <w:p>
            <w:pPr>
              <w:spacing w:after="0"/>
              <w:rPr>
                <w:sz w:val="16"/>
                <w:szCs w:val="16"/>
                <w:color w:val="auto"/>
              </w:rPr>
            </w:pPr>
          </w:p>
        </w:tc>
        <w:tc>
          <w:tcPr>
            <w:tcW w:w="400" w:type="dxa"/>
            <w:vAlign w:val="bottom"/>
          </w:tcPr>
          <w:p>
            <w:pPr>
              <w:ind w:left="100"/>
              <w:spacing w:after="0" w:line="194"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420" w:type="dxa"/>
            <w:vAlign w:val="bottom"/>
          </w:tcPr>
          <w:p>
            <w:pPr>
              <w:spacing w:after="0"/>
              <w:rPr>
                <w:sz w:val="16"/>
                <w:szCs w:val="16"/>
                <w:color w:val="auto"/>
              </w:rPr>
            </w:pPr>
          </w:p>
        </w:tc>
        <w:tc>
          <w:tcPr>
            <w:tcW w:w="68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0000FF"/>
              </w:rPr>
              <w:t>2,148</w:t>
            </w:r>
          </w:p>
        </w:tc>
        <w:tc>
          <w:tcPr>
            <w:tcW w:w="780" w:type="dxa"/>
            <w:vAlign w:val="bottom"/>
          </w:tcPr>
          <w:p>
            <w:pPr>
              <w:ind w:left="380"/>
              <w:spacing w:after="0"/>
              <w:rPr>
                <w:sz w:val="20"/>
                <w:szCs w:val="20"/>
                <w:color w:val="auto"/>
              </w:rPr>
            </w:pPr>
            <w:r>
              <w:rPr>
                <w:rFonts w:ascii="Times New Roman" w:cs="Times New Roman" w:eastAsia="Times New Roman" w:hAnsi="Times New Roman"/>
                <w:sz w:val="11"/>
                <w:szCs w:val="11"/>
                <w:color w:val="008000"/>
              </w:rPr>
              <w:t>(4)</w:t>
            </w:r>
          </w:p>
        </w:tc>
        <w:tc>
          <w:tcPr>
            <w:tcW w:w="76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10/14/2030</w:t>
            </w:r>
          </w:p>
        </w:tc>
        <w:tc>
          <w:tcPr>
            <w:tcW w:w="68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0000FF"/>
              </w:rPr>
              <w:t>Common</w:t>
            </w:r>
          </w:p>
        </w:tc>
        <w:tc>
          <w:tcPr>
            <w:tcW w:w="5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2,148</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ind w:left="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70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8,592</w:t>
            </w:r>
          </w:p>
        </w:tc>
        <w:tc>
          <w:tcPr>
            <w:tcW w:w="26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ind w:left="18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40" w:right="160" w:firstLine="3"/>
        <w:spacing w:after="0" w:line="243"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reported by the Reporting Person were effected pursuant to a Rule 10b5-1 trading plan adopted on August 19, 2025. The plan was adopted during an open trading window, at a time when the Reporting Person was not in possession of material non-public information and was reviewed and approved in accordance with the Issuer's Insider Trading Policy. The Issuer's officers and directors from time to time utilize trading plans to transact in its securities for reasons such as satisfying vesting-related income tax requirements, investment diversification, or other personal reasons.</w:t>
      </w:r>
    </w:p>
    <w:p>
      <w:pPr>
        <w:spacing w:after="0" w:line="26" w:lineRule="exact"/>
        <w:rPr>
          <w:rFonts w:ascii="Times New Roman" w:cs="Times New Roman" w:eastAsia="Times New Roman" w:hAnsi="Times New Roman"/>
          <w:sz w:val="13"/>
          <w:szCs w:val="13"/>
          <w:color w:val="008000"/>
        </w:rPr>
      </w:pPr>
    </w:p>
    <w:p>
      <w:pPr>
        <w:ind w:left="40" w:right="240" w:firstLine="3"/>
        <w:spacing w:after="0" w:line="243"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$110.055 to $110.97, inclusive. The Reporting Person undertakes to provide to the Issuer, any security holder of the Issuer or the staff of the Securities and Exchange Commission, upon request, full information regarding the number of shares sold at each separate price at which the transactions were effected.</w:t>
      </w:r>
    </w:p>
    <w:p>
      <w:pPr>
        <w:spacing w:after="0" w:line="26" w:lineRule="exact"/>
        <w:rPr>
          <w:rFonts w:ascii="Times New Roman" w:cs="Times New Roman" w:eastAsia="Times New Roman" w:hAnsi="Times New Roman"/>
          <w:sz w:val="13"/>
          <w:szCs w:val="13"/>
          <w:color w:val="008000"/>
        </w:rPr>
      </w:pPr>
    </w:p>
    <w:p>
      <w:pPr>
        <w:ind w:left="40" w:right="180" w:firstLine="3"/>
        <w:spacing w:after="0" w:line="243"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$111.08 to $111.82, inclusive. The Reporting Person undertakes to provide to the Issuer, any security holder of the Issuer or the staff of the Securities and Exchange Commission, upon request, full information regarding the number of shares sold at each separate price at which the transactions were effected.</w:t>
      </w:r>
    </w:p>
    <w:p>
      <w:pPr>
        <w:spacing w:after="0" w:line="2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is fully vested.</w:t>
      </w:r>
    </w:p>
    <w:p>
      <w:pPr>
        <w:spacing w:after="0" w:line="5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Kathleen A. McGowan,</w:t>
            </w:r>
          </w:p>
        </w:tc>
        <w:tc>
          <w:tcPr>
            <w:tcW w:w="220" w:type="dxa"/>
            <w:vAlign w:val="bottom"/>
          </w:tcPr>
          <w:p>
            <w:pPr>
              <w:spacing w:after="0"/>
              <w:rPr>
                <w:sz w:val="16"/>
                <w:szCs w:val="16"/>
                <w:color w:val="auto"/>
              </w:rPr>
            </w:pPr>
          </w:p>
        </w:tc>
        <w:tc>
          <w:tcPr>
            <w:tcW w:w="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5"/>
              </w:rPr>
              <w:t>06/22/2026</w:t>
            </w:r>
          </w:p>
        </w:tc>
        <w:tc>
          <w:tcPr>
            <w:tcW w:w="0" w:type="dxa"/>
            <w:vAlign w:val="bottom"/>
          </w:tcPr>
          <w:p>
            <w:pPr>
              <w:spacing w:after="0"/>
              <w:rPr>
                <w:sz w:val="1"/>
                <w:szCs w:val="1"/>
                <w:color w:val="auto"/>
              </w:rPr>
            </w:pPr>
          </w:p>
        </w:tc>
      </w:tr>
      <w:tr>
        <w:trPr>
          <w:trHeight w:val="84"/>
        </w:trPr>
        <w:tc>
          <w:tcPr>
            <w:tcW w:w="114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7"/>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14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912570" TargetMode="External"/><Relationship Id="rId14" Type="http://schemas.openxmlformats.org/officeDocument/2006/relationships/hyperlink" Target="http://www.sec.gov/cgi-bin/browse-edgar?action=getcompany&amp;CIK=00015836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2026-06-22T16:35:04Z</dcterms:created>
  <dcterms:modified xsi:type="dcterms:W3CDTF">2026-06-22T16:35:04Z</dcterms:modified>
</cp:coreProperties>
</file>