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25443-1_4seq1.xml.htm"/>
      <w:bookmarkStart w:id="1" w:name="kstm26254431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JENKINS GEORGE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PALVELLA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353 W. LANCASTER AVENUE, SUITE 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WAYNE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19087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PALVELLA THERAPEUTICS, INC.</w:t>
              </w:r>
            </w:hyperlink>
            <w:r>
              <w:rPr/>
              <w:t xml:space="preserve"> [ </w:t>
            </w:r>
            <w:r>
              <w:rPr>
                <w:rFonts w:ascii="Times;serif" w:hAnsi="Times;serif"/>
                <w:color w:val="0000FF"/>
                <w:sz w:val="24"/>
                <w:shd w:fill="FFFFFF" w:val="clear"/>
              </w:rPr>
              <w:t>PVLA</w:t>
            </w:r>
            <w:r>
              <w:rPr/>
              <w:t xml:space="preserve"> ] </w:t>
              <w:br/>
            </w:r>
            <w:r>
              <w:rPr>
                <w:rFonts w:ascii="arial;helvetica;sans-serif" w:hAnsi="arial;helvetica;sans-serif"/>
                <w:sz w:val="20"/>
              </w:rPr>
              <w:t>Foreign Trading Symbol</w:t>
            </w:r>
          </w:p>
        </w:tc>
        <w:tc>
          <w:tcPr>
            <w:tcW w:w="306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1"/>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09/11/2026</w:t>
            </w:r>
          </w:p>
        </w:tc>
        <w:tc>
          <w:tcPr>
            <w:tcW w:w="30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1"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3"/>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02"/>
        <w:gridCol w:w="924"/>
        <w:gridCol w:w="794"/>
        <w:gridCol w:w="672"/>
        <w:gridCol w:w="280"/>
        <w:gridCol w:w="803"/>
        <w:gridCol w:w="413"/>
        <w:gridCol w:w="1102"/>
        <w:gridCol w:w="1104"/>
        <w:gridCol w:w="959"/>
        <w:gridCol w:w="125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0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1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25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0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7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28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1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5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0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09/11/2026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(1)(2)</w:t>
            </w:r>
          </w:p>
        </w:tc>
        <w:tc>
          <w:tcPr>
            <w:tcW w:w="2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6,520</w:t>
            </w:r>
          </w:p>
        </w:tc>
        <w:tc>
          <w:tcPr>
            <w:tcW w:w="4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150.6189</w:t>
            </w:r>
            <w:r>
              <w:rPr>
                <w:rFonts w:ascii="Times;serif" w:hAnsi="Times;serif"/>
                <w:color w:val="008000"/>
                <w:position w:val="7"/>
                <w:sz w:val="16"/>
                <w:sz w:val="20"/>
                <w:shd w:fill="FFFFFF" w:val="clear"/>
              </w:rPr>
              <w:t>(3)</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181,096</w:t>
            </w:r>
          </w:p>
        </w:tc>
        <w:tc>
          <w:tcPr>
            <w:tcW w:w="9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0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09/11/2026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(1)(2)</w:t>
            </w:r>
          </w:p>
        </w:tc>
        <w:tc>
          <w:tcPr>
            <w:tcW w:w="2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4,577</w:t>
            </w:r>
          </w:p>
        </w:tc>
        <w:tc>
          <w:tcPr>
            <w:tcW w:w="4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151.7157</w:t>
            </w:r>
            <w:r>
              <w:rPr>
                <w:rFonts w:ascii="Times;serif" w:hAnsi="Times;serif"/>
                <w:color w:val="008000"/>
                <w:position w:val="7"/>
                <w:sz w:val="16"/>
                <w:sz w:val="20"/>
                <w:shd w:fill="FFFFFF" w:val="clear"/>
              </w:rPr>
              <w:t>(4)</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176,519</w:t>
            </w:r>
          </w:p>
        </w:tc>
        <w:tc>
          <w:tcPr>
            <w:tcW w:w="9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0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09/11/2026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(1)(2)</w:t>
            </w:r>
          </w:p>
        </w:tc>
        <w:tc>
          <w:tcPr>
            <w:tcW w:w="2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1,274</w:t>
            </w:r>
          </w:p>
        </w:tc>
        <w:tc>
          <w:tcPr>
            <w:tcW w:w="4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153.0591</w:t>
            </w:r>
            <w:r>
              <w:rPr>
                <w:rFonts w:ascii="Times;serif" w:hAnsi="Times;serif"/>
                <w:color w:val="008000"/>
                <w:position w:val="7"/>
                <w:sz w:val="16"/>
                <w:sz w:val="20"/>
                <w:shd w:fill="FFFFFF" w:val="clear"/>
              </w:rPr>
              <w:t>(5)</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175,245</w:t>
            </w:r>
          </w:p>
        </w:tc>
        <w:tc>
          <w:tcPr>
            <w:tcW w:w="9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0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09/14/2026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(1)(2)</w:t>
            </w:r>
          </w:p>
        </w:tc>
        <w:tc>
          <w:tcPr>
            <w:tcW w:w="2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5,632</w:t>
            </w:r>
          </w:p>
        </w:tc>
        <w:tc>
          <w:tcPr>
            <w:tcW w:w="4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151.4625</w:t>
            </w:r>
            <w:r>
              <w:rPr>
                <w:rFonts w:ascii="Times;serif" w:hAnsi="Times;serif"/>
                <w:color w:val="008000"/>
                <w:position w:val="7"/>
                <w:sz w:val="16"/>
                <w:sz w:val="20"/>
                <w:shd w:fill="FFFFFF" w:val="clear"/>
              </w:rPr>
              <w:t>(6)</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169,613</w:t>
            </w:r>
          </w:p>
        </w:tc>
        <w:tc>
          <w:tcPr>
            <w:tcW w:w="9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0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09/14/2026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(1)(2)</w:t>
            </w:r>
          </w:p>
        </w:tc>
        <w:tc>
          <w:tcPr>
            <w:tcW w:w="2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6,160</w:t>
            </w:r>
          </w:p>
        </w:tc>
        <w:tc>
          <w:tcPr>
            <w:tcW w:w="4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152.1159</w:t>
            </w:r>
            <w:r>
              <w:rPr>
                <w:rFonts w:ascii="Times;serif" w:hAnsi="Times;serif"/>
                <w:color w:val="008000"/>
                <w:position w:val="7"/>
                <w:sz w:val="16"/>
                <w:sz w:val="20"/>
                <w:shd w:fill="FFFFFF" w:val="clear"/>
              </w:rPr>
              <w:t>(7)</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163,453</w:t>
            </w:r>
          </w:p>
        </w:tc>
        <w:tc>
          <w:tcPr>
            <w:tcW w:w="9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0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09/14/2026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(1)(2)</w:t>
            </w:r>
          </w:p>
        </w:tc>
        <w:tc>
          <w:tcPr>
            <w:tcW w:w="2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1,560</w:t>
            </w:r>
          </w:p>
        </w:tc>
        <w:tc>
          <w:tcPr>
            <w:tcW w:w="4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153.099</w:t>
            </w:r>
            <w:r>
              <w:rPr>
                <w:rFonts w:ascii="Times;serif" w:hAnsi="Times;serif"/>
                <w:color w:val="008000"/>
                <w:position w:val="7"/>
                <w:sz w:val="16"/>
                <w:sz w:val="20"/>
                <w:shd w:fill="FFFFFF" w:val="clear"/>
              </w:rPr>
              <w:t>(8)</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161,893</w:t>
            </w:r>
          </w:p>
        </w:tc>
        <w:tc>
          <w:tcPr>
            <w:tcW w:w="9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0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(1)(2)</w:t>
            </w:r>
          </w:p>
        </w:tc>
        <w:tc>
          <w:tcPr>
            <w:tcW w:w="2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954</w:t>
            </w:r>
          </w:p>
        </w:tc>
        <w:tc>
          <w:tcPr>
            <w:tcW w:w="4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149.3779</w:t>
            </w:r>
            <w:r>
              <w:rPr>
                <w:rFonts w:ascii="Times;serif" w:hAnsi="Times;serif"/>
                <w:color w:val="008000"/>
                <w:position w:val="7"/>
                <w:sz w:val="16"/>
                <w:sz w:val="20"/>
                <w:shd w:fill="FFFFFF" w:val="clear"/>
              </w:rPr>
              <w:t>(9)</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160,939</w:t>
            </w:r>
          </w:p>
        </w:tc>
        <w:tc>
          <w:tcPr>
            <w:tcW w:w="9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0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(1)(2)</w:t>
            </w:r>
          </w:p>
        </w:tc>
        <w:tc>
          <w:tcPr>
            <w:tcW w:w="2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263</w:t>
            </w:r>
          </w:p>
        </w:tc>
        <w:tc>
          <w:tcPr>
            <w:tcW w:w="4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150.4045</w:t>
            </w:r>
            <w:r>
              <w:rPr>
                <w:rFonts w:ascii="Times;serif" w:hAnsi="Times;serif"/>
                <w:color w:val="008000"/>
                <w:position w:val="7"/>
                <w:sz w:val="16"/>
                <w:sz w:val="20"/>
                <w:shd w:fill="FFFFFF" w:val="clear"/>
              </w:rPr>
              <w:t>(10)</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160,676</w:t>
            </w:r>
          </w:p>
        </w:tc>
        <w:tc>
          <w:tcPr>
            <w:tcW w:w="9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0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(1)(2)</w:t>
            </w:r>
          </w:p>
        </w:tc>
        <w:tc>
          <w:tcPr>
            <w:tcW w:w="2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560</w:t>
            </w:r>
          </w:p>
        </w:tc>
        <w:tc>
          <w:tcPr>
            <w:tcW w:w="4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151.3263</w:t>
            </w:r>
            <w:r>
              <w:rPr>
                <w:rFonts w:ascii="Times;serif" w:hAnsi="Times;serif"/>
                <w:color w:val="008000"/>
                <w:position w:val="7"/>
                <w:sz w:val="16"/>
                <w:sz w:val="20"/>
                <w:shd w:fill="FFFFFF" w:val="clear"/>
              </w:rPr>
              <w:t>(11)</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160,116</w:t>
            </w:r>
          </w:p>
        </w:tc>
        <w:tc>
          <w:tcPr>
            <w:tcW w:w="9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0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8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13,516</w:t>
            </w:r>
          </w:p>
        </w:tc>
        <w:tc>
          <w:tcPr>
            <w:tcW w:w="9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foundation</w:t>
            </w:r>
            <w:r>
              <w:rPr>
                <w:rFonts w:ascii="Times;serif" w:hAnsi="Times;serif"/>
                <w:color w:val="008000"/>
                <w:position w:val="7"/>
                <w:sz w:val="16"/>
                <w:sz w:val="20"/>
                <w:shd w:fill="FFFFFF" w:val="clear"/>
              </w:rPr>
              <w:t>(12)</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transactions reported by the Reporting Person were effected pursuant to a Rule 10b5-1 trading plan adopted on June 12, 2026. The plan was adopted during an open trading window, at a time when the Reporting Person was not in possession of material non-public information and was reviewed and approved in accordance with the Issuer's Insider Trading Policy. The Issuer's officers and directors from time to time utilize trading plans to transact in its securities for reasons such as satisfying vesting-related income tax requirements, investment diversification, or other personal reasons.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Any profit required to be disgorged under Section 16 of the Securities Exchange Act of 1934, as amended, with respect to an aggregate of 445 shares sold in the transactions reported on this Form 4 will be disgorged to the Issuer pursuant to applicable requirements.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 shares were sold in multiple transactions at prices ranging from $150.23 to $151.18, inclusive. The Reporting Person undertakes to provide to the Issuer, any security holder of the Issuer or the staff of the Securities and Exchange Commission, upon request, full information regarding the number of shares sold at each separate price at which the transactions were effected.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 shares were sold in multiple transactions at prices ranging from $151.23 to $152.09, inclusive. The Reporting Person undertakes to provide to the Issuer, any security holder of the Issuer or the staff of the Securities and Exchange Commission, upon request, full information regarding the number of shares sold at each separate price at which the transactions were effected.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 average price. The shares were sold in multiple transactions at prices ranging from $152.42 to $153.30, inclusive. The Reporting Person undertakes to provide to the Issuer, any security holder of the Issuer or the staff of the Securities and Exchange Commission, upon request, full information regarding the number of shares sold at each separate price at which the transactions were effected.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price reported in Column 4 is a weighted average price. The shares were sold in multiple transactions at prices ranging from $150.80 to $151.785, inclusive. The Reporting Person undertakes to provide to the Issuer, any security holder of the Issuer or the staff of the Securities and Exchange Commission, upon request, full information regarding the number of shares sold at each separate price at which the transactions were effected.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price reported in Column 4 is a weighted average price. The shares were sold in multiple transactions at prices ranging from $151.80 to $152.70, inclusive. The Reporting Person undertakes to provide to the Issuer, any security holder of the Issuer or the staff of the Securities and Exchange Commission, upon request, full information regarding the number of shares sold at each separate price at which the transactions were effected.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price reported in Column 4 is a weighted average price. The shares were sold in multiple transactions at prices ranging from $152.88 to $153.34, inclusive. The Reporting Person undertakes to provide to the Issuer, any security holder of the Issuer or the staff of the Securities and Exchange Commission, upon request, full information regarding the number of shares sold at each separate price at which the transactions were effected.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The price reported in Column 4 is a weighted average price. The shares were sold in multiple transactions at prices ranging from $148.90 to $149.50, inclusive. The Reporting Person undertakes to provide to the Issuer, any security holder of the Issuer or the staff of the Securities and Exchange Commission, upon request, full information regarding the number of shares sold at each separate price at which the transactions were effected.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The price reported in Column 4 is a weighted average price. The shares were sold in multiple transactions at prices ranging from $150.0525 to $151.0225, inclusive. The Reporting Person undertakes to provide to the Issuer, any security holder of the Issuer or the staff of the Securities and Exchange Commission, upon request, full information regarding the number of shares sold at each separate price at which the transactions were effected.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The price reported in Column 4 is a weighted average price. The shares were sold in multiple transactions at prices ranging from $151.16 to $151.65, inclusive. The Reporting Person undertakes to provide to the Issuer, any security holder of the Issuer or the staff of the Securities and Exchange Commission, upon request, full information regarding the number of shares sold at each separate price at which the transactions were effected.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12. Eagles Mere Air Museum Foundation.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Kathleen A. McGowan,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271081" TargetMode="External"/><Relationship Id="rId5" Type="http://schemas.openxmlformats.org/officeDocument/2006/relationships/hyperlink" Target="http://www.sec.gov/cgi-bin/browse-edgar?action=getcompany&amp;CIK=000158364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1427</Words>
  <Characters>7678</Characters>
  <CharactersWithSpaces>8959</CharactersWithSpaces>
  <Paragraphs>174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