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0001912570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283"/>
              <w:jc w:val="left"/>
              <w:rPr/>
            </w:pPr>
            <w:r>
              <w:rPr/>
              <w:t>Name of Issuer</w:t>
            </w:r>
          </w:p>
        </w:tc>
        <w:tc>
          <w:tcPr>
            <w:tcW w:w="4499" w:type="dxa"/>
            <w:tcBorders/>
            <w:vAlign w:val="center"/>
          </w:tcPr>
          <w:p>
            <w:pPr>
              <w:pStyle w:val="TableContents"/>
              <w:bidi w:val="0"/>
              <w:spacing w:before="0" w:after="0"/>
              <w:jc w:val="left"/>
              <w:rPr/>
            </w:pPr>
            <w:r>
              <w:rPr/>
              <w:t>PALVELLA THERAPEUTICS, INC.</w:t>
            </w:r>
          </w:p>
        </w:tc>
      </w:tr>
      <w:tr>
        <w:trPr/>
        <w:tc>
          <w:tcPr>
            <w:tcW w:w="5706" w:type="dxa"/>
            <w:tcBorders/>
            <w:vAlign w:val="center"/>
          </w:tcPr>
          <w:p>
            <w:pPr>
              <w:pStyle w:val="TableContents"/>
              <w:bidi w:val="0"/>
              <w:spacing w:before="0" w:after="283"/>
              <w:jc w:val="left"/>
              <w:rPr/>
            </w:pPr>
            <w:r>
              <w:rPr/>
              <w:t>SEC File Number</w:t>
            </w:r>
          </w:p>
        </w:tc>
        <w:tc>
          <w:tcPr>
            <w:tcW w:w="4499" w:type="dxa"/>
            <w:tcBorders/>
            <w:vAlign w:val="center"/>
          </w:tcPr>
          <w:p>
            <w:pPr>
              <w:pStyle w:val="TableContents"/>
              <w:bidi w:val="0"/>
              <w:spacing w:before="0" w:after="0"/>
              <w:jc w:val="left"/>
              <w:rPr/>
            </w:pPr>
            <w:r>
              <w:rPr/>
              <w:t>001-37471</w:t>
            </w:r>
          </w:p>
        </w:tc>
      </w:tr>
      <w:tr>
        <w:trPr/>
        <w:tc>
          <w:tcPr>
            <w:tcW w:w="5706" w:type="dxa"/>
            <w:tcBorders/>
            <w:vAlign w:val="center"/>
          </w:tcPr>
          <w:p>
            <w:pPr>
              <w:pStyle w:val="TableContents"/>
              <w:bidi w:val="0"/>
              <w:spacing w:before="0" w:after="283"/>
              <w:jc w:val="left"/>
              <w:rPr/>
            </w:pPr>
            <w:r>
              <w:rPr/>
              <w:t>Address of Issuer</w:t>
            </w:r>
          </w:p>
        </w:tc>
        <w:tc>
          <w:tcPr>
            <w:tcW w:w="4499" w:type="dxa"/>
            <w:tcBorders/>
            <w:vAlign w:val="center"/>
          </w:tcPr>
          <w:p>
            <w:pPr>
              <w:pStyle w:val="TableContents"/>
              <w:bidi w:val="0"/>
              <w:spacing w:before="0" w:after="0"/>
              <w:jc w:val="left"/>
              <w:rPr/>
            </w:pPr>
            <w:r>
              <w:rPr/>
              <w:t>353 W. LANCASTER AVENUE</w:t>
              <w:br/>
              <w:t>SUITE 200</w:t>
              <w:br/>
              <w:t>WAYNE</w:t>
              <w:br/>
              <w:t xml:space="preserve">PENNSYLVANIA </w:t>
              <w:br/>
              <w:t>19087</w:t>
            </w:r>
          </w:p>
        </w:tc>
      </w:tr>
      <w:tr>
        <w:trPr/>
        <w:tc>
          <w:tcPr>
            <w:tcW w:w="5706" w:type="dxa"/>
            <w:tcBorders/>
            <w:vAlign w:val="center"/>
          </w:tcPr>
          <w:p>
            <w:pPr>
              <w:pStyle w:val="TableContents"/>
              <w:bidi w:val="0"/>
              <w:spacing w:before="0" w:after="283"/>
              <w:jc w:val="left"/>
              <w:rPr/>
            </w:pPr>
            <w:r>
              <w:rPr/>
              <w:t>Phone</w:t>
            </w:r>
          </w:p>
        </w:tc>
        <w:tc>
          <w:tcPr>
            <w:tcW w:w="4499" w:type="dxa"/>
            <w:tcBorders/>
            <w:vAlign w:val="center"/>
          </w:tcPr>
          <w:p>
            <w:pPr>
              <w:pStyle w:val="TableContents"/>
              <w:bidi w:val="0"/>
              <w:spacing w:before="0" w:after="0"/>
              <w:jc w:val="left"/>
              <w:rPr/>
            </w:pPr>
            <w:r>
              <w:rPr/>
              <w:t>(484) 253-1461</w:t>
            </w:r>
          </w:p>
        </w:tc>
      </w:tr>
      <w:tr>
        <w:trPr/>
        <w:tc>
          <w:tcPr>
            <w:tcW w:w="5706" w:type="dxa"/>
            <w:tcBorders/>
            <w:vAlign w:val="center"/>
          </w:tcPr>
          <w:p>
            <w:pPr>
              <w:pStyle w:val="TableContents"/>
              <w:bidi w:val="0"/>
              <w:spacing w:before="0" w:after="283"/>
              <w:jc w:val="left"/>
              <w:rPr/>
            </w:pPr>
            <w:r>
              <w:rPr/>
              <w:t>Name of Person for Whose Account the Securities are To Be Sold</w:t>
            </w:r>
          </w:p>
        </w:tc>
        <w:tc>
          <w:tcPr>
            <w:tcW w:w="4499" w:type="dxa"/>
            <w:tcBorders/>
            <w:vAlign w:val="center"/>
          </w:tcPr>
          <w:p>
            <w:pPr>
              <w:pStyle w:val="TableContents"/>
              <w:bidi w:val="0"/>
              <w:spacing w:before="0" w:after="0"/>
              <w:jc w:val="left"/>
              <w:rPr/>
            </w:pPr>
            <w:r>
              <w:rPr/>
              <w:t>Goin Kathleen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6" w:type="dxa"/>
            <w:tcBorders/>
            <w:vAlign w:val="center"/>
          </w:tcPr>
          <w:p>
            <w:pPr>
              <w:pStyle w:val="TableContents"/>
              <w:bidi w:val="0"/>
              <w:spacing w:before="0" w:after="283"/>
              <w:jc w:val="left"/>
              <w:rPr/>
            </w:pPr>
            <w:r>
              <w:rPr/>
              <w:t>Relationship to Issuer</w:t>
            </w:r>
          </w:p>
        </w:tc>
        <w:tc>
          <w:tcPr>
            <w:tcW w:w="44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Piper Sandler &amp; Co Inc</w:t>
              <w:br/>
              <w:t>350 N 5th St</w:t>
              <w:br/>
              <w:t>Ste 1000</w:t>
              <w:br/>
              <w:t>Minneapolis   MN   55401</w:t>
            </w:r>
          </w:p>
        </w:tc>
        <w:tc>
          <w:tcPr>
            <w:tcW w:w="1153" w:type="dxa"/>
            <w:tcBorders/>
            <w:vAlign w:val="center"/>
          </w:tcPr>
          <w:p>
            <w:pPr>
              <w:pStyle w:val="TableContents"/>
              <w:bidi w:val="0"/>
              <w:spacing w:before="0" w:after="283"/>
              <w:jc w:val="left"/>
              <w:rPr/>
            </w:pPr>
            <w:r>
              <w:rPr/>
              <w:t>4302</w:t>
            </w:r>
          </w:p>
        </w:tc>
        <w:tc>
          <w:tcPr>
            <w:tcW w:w="1360" w:type="dxa"/>
            <w:tcBorders/>
            <w:vAlign w:val="center"/>
          </w:tcPr>
          <w:p>
            <w:pPr>
              <w:pStyle w:val="TableContents"/>
              <w:bidi w:val="0"/>
              <w:spacing w:before="0" w:after="283"/>
              <w:jc w:val="left"/>
              <w:rPr/>
            </w:pPr>
            <w:r>
              <w:rPr/>
              <w:t>647106.84</w:t>
            </w:r>
          </w:p>
        </w:tc>
        <w:tc>
          <w:tcPr>
            <w:tcW w:w="1538" w:type="dxa"/>
            <w:tcBorders/>
            <w:vAlign w:val="center"/>
          </w:tcPr>
          <w:p>
            <w:pPr>
              <w:pStyle w:val="TableContents"/>
              <w:bidi w:val="0"/>
              <w:spacing w:before="0" w:after="283"/>
              <w:jc w:val="left"/>
              <w:rPr/>
            </w:pPr>
            <w:r>
              <w:rPr/>
              <w:t>14408407</w:t>
            </w:r>
          </w:p>
        </w:tc>
        <w:tc>
          <w:tcPr>
            <w:tcW w:w="1558" w:type="dxa"/>
            <w:tcBorders/>
            <w:vAlign w:val="center"/>
          </w:tcPr>
          <w:p>
            <w:pPr>
              <w:pStyle w:val="TableContents"/>
              <w:bidi w:val="0"/>
              <w:spacing w:before="0" w:after="283"/>
              <w:jc w:val="left"/>
              <w:rPr/>
            </w:pPr>
            <w:r>
              <w:rPr/>
              <w:t>08/19/2026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4302</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8"/>
        <w:gridCol w:w="2893"/>
        <w:gridCol w:w="936"/>
        <w:gridCol w:w="1551"/>
        <w:gridCol w:w="1747"/>
      </w:tblGrid>
      <w:tr>
        <w:trPr/>
        <w:tc>
          <w:tcPr>
            <w:tcW w:w="3078" w:type="dxa"/>
            <w:tcBorders/>
            <w:vAlign w:val="center"/>
          </w:tcPr>
          <w:p>
            <w:pPr>
              <w:pStyle w:val="TableHeading"/>
              <w:suppressLineNumbers/>
              <w:bidi w:val="0"/>
              <w:spacing w:before="0" w:after="283"/>
              <w:jc w:val="center"/>
              <w:rPr/>
            </w:pPr>
            <w:r>
              <w:rPr/>
              <w:t>Name and Address of Seller</w:t>
            </w:r>
          </w:p>
        </w:tc>
        <w:tc>
          <w:tcPr>
            <w:tcW w:w="2893"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78" w:type="dxa"/>
            <w:tcBorders/>
            <w:vAlign w:val="center"/>
          </w:tcPr>
          <w:p>
            <w:pPr>
              <w:pStyle w:val="TableContents"/>
              <w:bidi w:val="0"/>
              <w:spacing w:before="0" w:after="283"/>
              <w:jc w:val="left"/>
              <w:rPr/>
            </w:pPr>
            <w:r>
              <w:rPr/>
              <w:t>Kathleen Goin C/O Palvella Therapeutics Inc</w:t>
              <w:br/>
              <w:t>353 W Lancaster Ave, Ste 200</w:t>
              <w:br/>
              <w:t>Wayne   PA   19087</w:t>
            </w:r>
          </w:p>
        </w:tc>
        <w:tc>
          <w:tcPr>
            <w:tcW w:w="2893" w:type="dxa"/>
            <w:tcBorders/>
            <w:vAlign w:val="center"/>
          </w:tcPr>
          <w:p>
            <w:pPr>
              <w:pStyle w:val="TableContents"/>
              <w:bidi w:val="0"/>
              <w:spacing w:before="0" w:after="283"/>
              <w:jc w:val="left"/>
              <w:rPr/>
            </w:pPr>
            <w:r>
              <w:rPr/>
              <w:t>Common Stock</w:t>
            </w:r>
          </w:p>
        </w:tc>
        <w:tc>
          <w:tcPr>
            <w:tcW w:w="936" w:type="dxa"/>
            <w:tcBorders/>
            <w:vAlign w:val="center"/>
          </w:tcPr>
          <w:p>
            <w:pPr>
              <w:pStyle w:val="TableContents"/>
              <w:bidi w:val="0"/>
              <w:spacing w:before="0" w:after="283"/>
              <w:jc w:val="left"/>
              <w:rPr/>
            </w:pPr>
            <w:r>
              <w:rPr/>
              <w:t>05/20/2026</w:t>
            </w:r>
          </w:p>
        </w:tc>
        <w:tc>
          <w:tcPr>
            <w:tcW w:w="1551" w:type="dxa"/>
            <w:tcBorders/>
            <w:vAlign w:val="center"/>
          </w:tcPr>
          <w:p>
            <w:pPr>
              <w:pStyle w:val="TableContents"/>
              <w:bidi w:val="0"/>
              <w:spacing w:before="0" w:after="283"/>
              <w:jc w:val="left"/>
              <w:rPr/>
            </w:pPr>
            <w:r>
              <w:rPr/>
              <w:t>4302</w:t>
            </w:r>
          </w:p>
        </w:tc>
        <w:tc>
          <w:tcPr>
            <w:tcW w:w="1747" w:type="dxa"/>
            <w:tcBorders/>
            <w:vAlign w:val="center"/>
          </w:tcPr>
          <w:p>
            <w:pPr>
              <w:pStyle w:val="TableContents"/>
              <w:bidi w:val="0"/>
              <w:spacing w:before="0" w:after="283"/>
              <w:jc w:val="left"/>
              <w:rPr/>
            </w:pPr>
            <w:r>
              <w:rPr/>
              <w:t>475630.84</w:t>
            </w:r>
          </w:p>
        </w:tc>
      </w:tr>
      <w:tr>
        <w:trPr/>
        <w:tc>
          <w:tcPr>
            <w:tcW w:w="3078" w:type="dxa"/>
            <w:tcBorders/>
            <w:vAlign w:val="center"/>
          </w:tcPr>
          <w:p>
            <w:pPr>
              <w:pStyle w:val="TableContents"/>
              <w:bidi w:val="0"/>
              <w:spacing w:before="0" w:after="283"/>
              <w:jc w:val="left"/>
              <w:rPr/>
            </w:pPr>
            <w:r>
              <w:rPr/>
              <w:t>Kathleen Goin C/O Palvella Therapeutics Inc</w:t>
              <w:br/>
              <w:t>353 W Lancaster Ave</w:t>
              <w:br/>
              <w:t>Ste 200</w:t>
              <w:br/>
              <w:t>Wayne   PA   19087</w:t>
            </w:r>
          </w:p>
        </w:tc>
        <w:tc>
          <w:tcPr>
            <w:tcW w:w="2893" w:type="dxa"/>
            <w:tcBorders/>
            <w:vAlign w:val="center"/>
          </w:tcPr>
          <w:p>
            <w:pPr>
              <w:pStyle w:val="TableContents"/>
              <w:bidi w:val="0"/>
              <w:spacing w:before="0" w:after="283"/>
              <w:jc w:val="left"/>
              <w:rPr/>
            </w:pPr>
            <w:r>
              <w:rPr/>
              <w:t>Common Stock</w:t>
            </w:r>
          </w:p>
        </w:tc>
        <w:tc>
          <w:tcPr>
            <w:tcW w:w="936"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4302</w:t>
            </w:r>
          </w:p>
        </w:tc>
        <w:tc>
          <w:tcPr>
            <w:tcW w:w="1747" w:type="dxa"/>
            <w:tcBorders/>
            <w:vAlign w:val="center"/>
          </w:tcPr>
          <w:p>
            <w:pPr>
              <w:pStyle w:val="TableContents"/>
              <w:bidi w:val="0"/>
              <w:spacing w:before="0" w:after="283"/>
              <w:jc w:val="left"/>
              <w:rPr/>
            </w:pPr>
            <w:r>
              <w:rPr/>
              <w:t>476372.94</w:t>
            </w:r>
          </w:p>
        </w:tc>
      </w:tr>
      <w:tr>
        <w:trPr/>
        <w:tc>
          <w:tcPr>
            <w:tcW w:w="3078" w:type="dxa"/>
            <w:tcBorders/>
            <w:vAlign w:val="center"/>
          </w:tcPr>
          <w:p>
            <w:pPr>
              <w:pStyle w:val="TableContents"/>
              <w:bidi w:val="0"/>
              <w:spacing w:before="0" w:after="283"/>
              <w:jc w:val="left"/>
              <w:rPr/>
            </w:pPr>
            <w:r>
              <w:rPr/>
              <w:t>Kathleen Goin C/O Palvella Therapeutics Inc</w:t>
              <w:br/>
              <w:t>353 W Lancaster Ave, Ste 200</w:t>
              <w:br/>
              <w:t>Wayne   PA   19087</w:t>
            </w:r>
          </w:p>
        </w:tc>
        <w:tc>
          <w:tcPr>
            <w:tcW w:w="2893" w:type="dxa"/>
            <w:tcBorders/>
            <w:vAlign w:val="center"/>
          </w:tcPr>
          <w:p>
            <w:pPr>
              <w:pStyle w:val="TableContents"/>
              <w:bidi w:val="0"/>
              <w:spacing w:before="0" w:after="283"/>
              <w:jc w:val="left"/>
              <w:rPr/>
            </w:pPr>
            <w:r>
              <w:rPr/>
              <w:t>Common Stock</w:t>
            </w:r>
          </w:p>
        </w:tc>
        <w:tc>
          <w:tcPr>
            <w:tcW w:w="936" w:type="dxa"/>
            <w:tcBorders/>
            <w:vAlign w:val="center"/>
          </w:tcPr>
          <w:p>
            <w:pPr>
              <w:pStyle w:val="TableContents"/>
              <w:bidi w:val="0"/>
              <w:spacing w:before="0" w:after="283"/>
              <w:jc w:val="left"/>
              <w:rPr/>
            </w:pPr>
            <w:r>
              <w:rPr/>
              <w:t>07/15/2026</w:t>
            </w:r>
          </w:p>
        </w:tc>
        <w:tc>
          <w:tcPr>
            <w:tcW w:w="1551" w:type="dxa"/>
            <w:tcBorders/>
            <w:vAlign w:val="center"/>
          </w:tcPr>
          <w:p>
            <w:pPr>
              <w:pStyle w:val="TableContents"/>
              <w:bidi w:val="0"/>
              <w:spacing w:before="0" w:after="283"/>
              <w:jc w:val="left"/>
              <w:rPr/>
            </w:pPr>
            <w:r>
              <w:rPr/>
              <w:t>4302</w:t>
            </w:r>
          </w:p>
        </w:tc>
        <w:tc>
          <w:tcPr>
            <w:tcW w:w="1747" w:type="dxa"/>
            <w:tcBorders/>
            <w:vAlign w:val="center"/>
          </w:tcPr>
          <w:p>
            <w:pPr>
              <w:pStyle w:val="TableContents"/>
              <w:bidi w:val="0"/>
              <w:spacing w:before="0" w:after="283"/>
              <w:jc w:val="left"/>
              <w:rPr/>
            </w:pPr>
            <w:r>
              <w:rPr/>
              <w:t>642191.37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40"/>
        <w:gridCol w:w="6465"/>
      </w:tblGrid>
      <w:tr>
        <w:trPr/>
        <w:tc>
          <w:tcPr>
            <w:tcW w:w="3740" w:type="dxa"/>
            <w:tcBorders/>
            <w:vAlign w:val="center"/>
          </w:tcPr>
          <w:p>
            <w:pPr>
              <w:pStyle w:val="TableContents"/>
              <w:bidi w:val="0"/>
              <w:spacing w:before="0" w:after="283"/>
              <w:jc w:val="left"/>
              <w:rPr/>
            </w:pPr>
            <w:r>
              <w:rPr/>
              <w:t>Remarks</w:t>
            </w:r>
          </w:p>
        </w:tc>
        <w:tc>
          <w:tcPr>
            <w:tcW w:w="6465" w:type="dxa"/>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283"/>
              <w:jc w:val="left"/>
              <w:rPr/>
            </w:pPr>
            <w:r>
              <w:rPr/>
              <w:t>Date of Notice</w:t>
            </w:r>
          </w:p>
        </w:tc>
        <w:tc>
          <w:tcPr>
            <w:tcW w:w="6465" w:type="dxa"/>
            <w:tcBorders/>
            <w:vAlign w:val="center"/>
          </w:tcPr>
          <w:p>
            <w:pPr>
              <w:pStyle w:val="TableContents"/>
              <w:bidi w:val="0"/>
              <w:spacing w:before="0" w:after="0"/>
              <w:jc w:val="left"/>
              <w:rPr/>
            </w:pPr>
            <w:r>
              <w:rPr/>
              <w:t>08/19/2026</w:t>
            </w:r>
          </w:p>
        </w:tc>
      </w:tr>
      <w:tr>
        <w:trPr/>
        <w:tc>
          <w:tcPr>
            <w:tcW w:w="3740" w:type="dxa"/>
            <w:tcBorders/>
            <w:vAlign w:val="center"/>
          </w:tcPr>
          <w:p>
            <w:pPr>
              <w:pStyle w:val="TableContents"/>
              <w:bidi w:val="0"/>
              <w:spacing w:before="0" w:after="283"/>
              <w:jc w:val="left"/>
              <w:rPr/>
            </w:pPr>
            <w:r>
              <w:rPr/>
              <w:t>Date of Plan Adoption or Giving of Instruction, If Relying on Rule 10b5-1</w:t>
            </w:r>
          </w:p>
        </w:tc>
        <w:tc>
          <w:tcPr>
            <w:tcW w:w="6465"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40" w:type="dxa"/>
            <w:tcBorders/>
            <w:vAlign w:val="center"/>
          </w:tcPr>
          <w:p>
            <w:pPr>
              <w:pStyle w:val="TableContents"/>
              <w:bidi w:val="0"/>
              <w:spacing w:before="0" w:after="283"/>
              <w:jc w:val="left"/>
              <w:rPr/>
            </w:pPr>
            <w:r>
              <w:rPr/>
              <w:t>Signature</w:t>
            </w:r>
          </w:p>
        </w:tc>
        <w:tc>
          <w:tcPr>
            <w:tcW w:w="6465" w:type="dxa"/>
            <w:tcBorders/>
            <w:vAlign w:val="center"/>
          </w:tcPr>
          <w:p>
            <w:pPr>
              <w:pStyle w:val="TableContents"/>
              <w:bidi w:val="0"/>
              <w:spacing w:before="0" w:after="0"/>
              <w:jc w:val="left"/>
              <w:rPr/>
            </w:pPr>
            <w:r>
              <w:rPr/>
              <w:t>Will Britton, a duly authorized representative of Piper Sandler &amp; Co Corporate &amp; Venture Services FA, as attorney-in-fact for Kathleen Goin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3460</Characters>
  <CharactersWithSpaces>4082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