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PALVELLA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001-37471</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30-0784346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4" w:right="339" w:bottom="1440" w:gutter="0" w:footer="0" w:header="0"/>
          <w:type w:val="continuous"/>
        </w:sectPr>
      </w:pPr>
    </w:p>
    <w:p>
      <w:pPr>
        <w:spacing w:after="0" w:line="3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353 W. Lancaster Ave, Suite 200</w:t>
      </w:r>
    </w:p>
    <w:p>
      <w:pPr>
        <w:spacing w:after="0" w:line="31" w:lineRule="exact"/>
        <w:rPr>
          <w:sz w:val="24"/>
          <w:szCs w:val="24"/>
          <w:color w:val="auto"/>
        </w:rPr>
      </w:pPr>
    </w:p>
    <w:p>
      <w:pPr>
        <w:ind w:left="20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Wayne, Pennsylvania</w:t>
      </w:r>
      <w:r>
        <w:rPr>
          <w:sz w:val="20"/>
          <w:szCs w:val="20"/>
          <w:color w:val="auto"/>
        </w:rPr>
        <w:tab/>
      </w:r>
      <w:r>
        <w:rPr>
          <w:rFonts w:ascii="Times New Roman" w:cs="Times New Roman" w:eastAsia="Times New Roman" w:hAnsi="Times New Roman"/>
          <w:sz w:val="18"/>
          <w:szCs w:val="18"/>
          <w:b w:val="1"/>
          <w:bCs w:val="1"/>
          <w:color w:val="auto"/>
        </w:rPr>
        <w:t>19087</w:t>
      </w:r>
    </w:p>
    <w:p>
      <w:pPr>
        <w:spacing w:after="0" w:line="9" w:lineRule="exact"/>
        <w:rPr>
          <w:sz w:val="24"/>
          <w:szCs w:val="24"/>
          <w:color w:val="auto"/>
        </w:rPr>
      </w:pPr>
    </w:p>
    <w:p>
      <w:pPr>
        <w:ind w:left="1380"/>
        <w:spacing w:after="0"/>
        <w:tabs>
          <w:tab w:leader="none" w:pos="802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(484) 253-1461</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PVLA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10, 2026, 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Palvella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stockholders approved the amendment (the “</w:t>
      </w:r>
      <w:r>
        <w:rPr>
          <w:rFonts w:ascii="Times New Roman" w:cs="Times New Roman" w:eastAsia="Times New Roman" w:hAnsi="Times New Roman"/>
          <w:sz w:val="18"/>
          <w:szCs w:val="18"/>
          <w:b w:val="1"/>
          <w:bCs w:val="1"/>
          <w:i w:val="1"/>
          <w:iCs w:val="1"/>
          <w:color w:val="auto"/>
        </w:rPr>
        <w:t>Plan Amendment</w:t>
      </w:r>
      <w:r>
        <w:rPr>
          <w:rFonts w:ascii="Times New Roman" w:cs="Times New Roman" w:eastAsia="Times New Roman" w:hAnsi="Times New Roman"/>
          <w:sz w:val="18"/>
          <w:szCs w:val="18"/>
          <w:color w:val="auto"/>
        </w:rPr>
        <w:t>”) to the Palvella Therapeutics, Inc. 2024 Equity Incentive Plan to increase the authorized shares issuable thereunder by 750,000 shares. The Plan Amendment was previously approved, subject to stockholder approval,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Plan Amendment became effective immediately upon stockholder approval at the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of the Plan Amendment is contained in the Company’s Definitive Proxy Statement for the Annual Meeting filed with the Securities and Exchange Commission on April 30,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The foregoing description of the Plan Amendment and the summary contained in the Proxy Statement do not purport to be complete and are qualified in their entirety by reference to the full text of the Plan Amendment, which is attached hereto as Exhibit 10.1.</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13, 2026, the record date for the Annual Meeting, there were 14,323,686 outstanding shares of the Company’s common stock, par value $0.001 per share,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30, 2026.</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 Election of Class III Directors. </w:t>
      </w:r>
      <w:r>
        <w:rPr>
          <w:rFonts w:ascii="Times New Roman" w:cs="Times New Roman" w:eastAsia="Times New Roman" w:hAnsi="Times New Roman"/>
          <w:sz w:val="18"/>
          <w:szCs w:val="18"/>
          <w:color w:val="auto"/>
        </w:rPr>
        <w:t>George M. Jenkins, Todd C. Davis and John Doux, M.D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elected to the Board as Class III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until the Company’s 2029 Annual Meeting of Stockholders and until their successors, if any, are duly elected and qualified or appointed, or their earlier death, resignation, retirement, disqualification or removal,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3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George M. Jenkins</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9,907,220</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268,834</w:t>
            </w:r>
          </w:p>
        </w:tc>
        <w:tc>
          <w:tcPr>
            <w:tcW w:w="2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Todd C. Davis</w:t>
            </w:r>
          </w:p>
        </w:tc>
        <w:tc>
          <w:tcPr>
            <w:tcW w:w="21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8,321,303</w:t>
            </w:r>
          </w:p>
        </w:tc>
        <w:tc>
          <w:tcPr>
            <w:tcW w:w="220" w:type="dxa"/>
            <w:vAlign w:val="bottom"/>
          </w:tcPr>
          <w:p>
            <w:pPr>
              <w:spacing w:after="0"/>
              <w:rPr>
                <w:sz w:val="18"/>
                <w:szCs w:val="18"/>
                <w:color w:val="auto"/>
              </w:rPr>
            </w:pPr>
          </w:p>
        </w:tc>
        <w:tc>
          <w:tcPr>
            <w:tcW w:w="2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1,854,751</w:t>
            </w:r>
          </w:p>
        </w:tc>
        <w:tc>
          <w:tcPr>
            <w:tcW w:w="200" w:type="dxa"/>
            <w:vAlign w:val="bottom"/>
          </w:tcPr>
          <w:p>
            <w:pPr>
              <w:spacing w:after="0"/>
              <w:rPr>
                <w:sz w:val="18"/>
                <w:szCs w:val="18"/>
                <w:color w:val="auto"/>
              </w:rPr>
            </w:pPr>
          </w:p>
        </w:tc>
        <w:tc>
          <w:tcPr>
            <w:tcW w:w="21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John Doux, M.D.</w:t>
            </w:r>
          </w:p>
        </w:tc>
        <w:tc>
          <w:tcPr>
            <w:tcW w:w="21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9,958,528</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217,526</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 Ratification of Independent Registered Public Accountant. </w:t>
      </w:r>
      <w:r>
        <w:rPr>
          <w:rFonts w:ascii="Times New Roman" w:cs="Times New Roman" w:eastAsia="Times New Roman" w:hAnsi="Times New Roman"/>
          <w:sz w:val="18"/>
          <w:szCs w:val="18"/>
          <w:color w:val="auto"/>
        </w:rPr>
        <w:t>The appointment of Ernst &amp;Young LLP as the Company’s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for the 2026 fiscal year was ratified,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11,557,687</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13,216</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 Approval, on an advisory basis, of the compensation of the Company’s named executive officers in 2025. </w:t>
      </w:r>
      <w:r>
        <w:rPr>
          <w:rFonts w:ascii="Times New Roman" w:cs="Times New Roman" w:eastAsia="Times New Roman" w:hAnsi="Times New Roman"/>
          <w:sz w:val="18"/>
          <w:szCs w:val="18"/>
          <w:color w:val="auto"/>
        </w:rPr>
        <w:t>The stockholders approved,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basis, the compensation of the Company’s named executive officers in 2025,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10,008,180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160,717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7,157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4 - Approval, on an advisory basis, of the preferred frequency of future advisory votes on the compensation paid to the Company’s named executive officers. </w:t>
      </w:r>
      <w:r>
        <w:rPr>
          <w:rFonts w:ascii="Times New Roman" w:cs="Times New Roman" w:eastAsia="Times New Roman" w:hAnsi="Times New Roman"/>
          <w:sz w:val="18"/>
          <w:szCs w:val="18"/>
          <w:color w:val="auto"/>
        </w:rPr>
        <w:t>The stockholders approved, on an advisory basis, the preferred frequency of future advisory votes on compensation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Every Year</w:t>
            </w:r>
          </w:p>
        </w:tc>
        <w:tc>
          <w:tcPr>
            <w:tcW w:w="22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Every 2 Years</w:t>
            </w:r>
          </w:p>
        </w:tc>
        <w:tc>
          <w:tcPr>
            <w:tcW w:w="2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Every 3 Years</w:t>
            </w:r>
          </w:p>
        </w:tc>
        <w:tc>
          <w:tcPr>
            <w:tcW w:w="22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1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9,183,170</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984,332</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7,550</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light of the voting results on this advisory proposal, the Board has determined that the Company will hold an advisory vote on the compensation of the Company’s named executive officers every year until the next required advisory vote on the frequency of such votes.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5 – Approval of an amendment to the Palvella Therapeutics, Inc. 2024 Equity Incentive Plan to increase the authorized shares issuable thereunder by 750,000 shares. </w:t>
      </w:r>
      <w:r>
        <w:rPr>
          <w:rFonts w:ascii="Times New Roman" w:cs="Times New Roman" w:eastAsia="Times New Roman" w:hAnsi="Times New Roman"/>
          <w:sz w:val="18"/>
          <w:szCs w:val="18"/>
          <w:color w:val="auto"/>
        </w:rPr>
        <w:t>The stockholders approved the Plan Amendment,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7,692,709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2,475,470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7,875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6 – Approval of an adjournment of the Annual Meeting to the extent there are insufficient votes at the Annual Meeting to approve Proposal 5.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approved an adjournment of the Annual Meeting to the extent there were insufficient votes to approve Proposal 5, but such an adjournment was not necessary in light of the approval of Proposal 5 at the Annual Meeting. The voting results for the adjournment proposal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7,649,243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2,519,068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7,743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1,401,415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FEFEFE"/>
            </w:tcBorders>
            <w:shd w:val="clear" w:color="auto" w:fill="FEFEFE"/>
          </w:tcPr>
          <w:p>
            <w:pPr>
              <w:spacing w:after="0"/>
              <w:rPr>
                <w:sz w:val="18"/>
                <w:szCs w:val="18"/>
                <w:color w:val="auto"/>
              </w:rPr>
            </w:pPr>
          </w:p>
        </w:tc>
        <w:tc>
          <w:tcPr>
            <w:tcW w:w="966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1500" w:type="dxa"/>
            <w:vAlign w:val="bottom"/>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80" w:type="dxa"/>
            <w:vAlign w:val="bottom"/>
            <w:shd w:val="clear" w:color="auto" w:fill="FEFEFE"/>
          </w:tcPr>
          <w:p>
            <w:pPr>
              <w:spacing w:after="0"/>
              <w:rPr>
                <w:sz w:val="14"/>
                <w:szCs w:val="14"/>
                <w:color w:val="auto"/>
              </w:rPr>
            </w:pPr>
          </w:p>
        </w:tc>
        <w:tc>
          <w:tcPr>
            <w:tcW w:w="9660" w:type="dxa"/>
            <w:vAlign w:val="bottom"/>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EE"/>
              </w:rPr>
              <w:t>Amendment No. 1 to the Palvella Therapeutics, Inc. 2024 Equity Incentive Plan</w:t>
            </w:r>
          </w:p>
        </w:tc>
      </w:tr>
      <w:tr>
        <w:trPr>
          <w:trHeight w:val="20"/>
        </w:trPr>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5760" w:type="dxa"/>
            <w:vAlign w:val="bottom"/>
            <w:shd w:val="clear" w:color="auto" w:fill="0000EE"/>
          </w:tcPr>
          <w:p>
            <w:pPr>
              <w:spacing w:after="0" w:line="20" w:lineRule="exact"/>
              <w:rPr>
                <w:sz w:val="1"/>
                <w:szCs w:val="1"/>
                <w:color w:val="auto"/>
              </w:rPr>
            </w:pPr>
          </w:p>
        </w:tc>
        <w:tc>
          <w:tcPr>
            <w:tcW w:w="3900" w:type="dxa"/>
            <w:vAlign w:val="bottom"/>
            <w:shd w:val="clear" w:color="auto" w:fill="FEFEFE"/>
          </w:tcPr>
          <w:p>
            <w:pPr>
              <w:spacing w:after="0" w:line="20" w:lineRule="exact"/>
              <w:rPr>
                <w:sz w:val="1"/>
                <w:szCs w:val="1"/>
                <w:color w:val="auto"/>
              </w:rPr>
            </w:pPr>
          </w:p>
        </w:tc>
      </w:tr>
      <w:tr>
        <w:trPr>
          <w:trHeight w:val="236"/>
        </w:trPr>
        <w:tc>
          <w:tcPr>
            <w:tcW w:w="32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966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PALVELLA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Korenberg</w:t>
            </w:r>
          </w:p>
        </w:tc>
      </w:tr>
      <w:tr>
        <w:trPr>
          <w:trHeight w:val="189"/>
        </w:trPr>
        <w:tc>
          <w:tcPr>
            <w:tcW w:w="3560" w:type="dxa"/>
            <w:vAlign w:val="bottom"/>
          </w:tcPr>
          <w:p>
            <w:pPr>
              <w:spacing w:after="0"/>
              <w:rPr>
                <w:sz w:val="16"/>
                <w:szCs w:val="16"/>
                <w:color w:val="auto"/>
              </w:rPr>
            </w:pPr>
          </w:p>
        </w:tc>
        <w:tc>
          <w:tcPr>
            <w:tcW w:w="2640" w:type="dxa"/>
            <w:vAlign w:val="bottom"/>
          </w:tcPr>
          <w:p>
            <w:pPr>
              <w:ind w:left="208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Matthew Korenberg</w:t>
            </w:r>
          </w:p>
        </w:tc>
      </w:tr>
      <w:tr>
        <w:trPr>
          <w:trHeight w:val="236"/>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PALVELLA THERAPEUTICS, INC.</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Palvella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maintains the Palvella Therapeutics, Inc. 2024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was previously adopted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approved by the Company’s stockholders;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Board believes that the number of Shares (as defined in the Plan) remaining available for issuance under the Plan has become insufficient for the Company’s anticipated future needs under the Plan;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it is advisable and in the best interest of the Company and its stockholders to amend the Plan to increase the aggregate number of Shares reserved for issuance thereunder by 750,000 shares;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Section 11 of the Plan provides that the Board may amend the Plan at any time, subject to certain conditions set forth therein.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Plan is hereby deleted it in its entirety and replaced with the following:</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 xml:space="preserve">. Subject to adjustment as provided in this Section 3(a), Section 3(d), and in Section 3(e) of the Plan, the maximum number of Shares that may be issued in respect of Awards under the Plan is the sum of: (i) 4,090,639 Shares, minus (ii) the number of Shares subject to Prior Plan Awards granted between September 12, 2024 and the Effective Date, plus (iii) up to 115,294 additional Shares subject to Prior Plan Awards to the extent they become available for reissuance pursuant to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 Any Shares issued hereunder may consist, in whole or in part, of authorized and unissued Shares or treasury shares.”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Amendment</w:t>
      </w:r>
      <w:r>
        <w:rPr>
          <w:rFonts w:ascii="Times New Roman" w:cs="Times New Roman" w:eastAsia="Times New Roman" w:hAnsi="Times New Roman"/>
          <w:sz w:val="18"/>
          <w:szCs w:val="18"/>
          <w:color w:val="auto"/>
        </w:rPr>
        <w:t>. This Amendment to the Plan shall become effective upon the date that it is approved by the Company’s stockholders in accordance with applicable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Except as set forth above, all other provisions of the Plan shall remain unchanged.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APRIL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2026-06-16T07:31:48Z</dcterms:created>
  <dcterms:modified xsi:type="dcterms:W3CDTF">2026-06-16T07:31:48Z</dcterms:modified>
</cp:coreProperties>
</file>