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628-1_4seq1.xml.htm"/>
      <w:bookmarkStart w:id="1" w:name="kstm2625628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Goin Kathleen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PALVELLA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353 W. LANCASTER AVENUE,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WAYNE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PALVELLA THERAPEUTICS, INC.</w:t>
              </w:r>
            </w:hyperlink>
            <w:r>
              <w:rPr/>
              <w:t xml:space="preserve"> [ </w:t>
            </w:r>
            <w:r>
              <w:rPr>
                <w:rFonts w:ascii="Times;serif" w:hAnsi="Times;serif"/>
                <w:color w:val="0000FF"/>
                <w:sz w:val="24"/>
                <w:shd w:fill="FFFFFF" w:val="clear"/>
              </w:rPr>
              <w:t>PVLA</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9.08</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151.1589</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152.3617</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1,654</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153.2434</w:t>
            </w:r>
            <w:r>
              <w:rPr>
                <w:rFonts w:ascii="Times;serif" w:hAnsi="Times;serif"/>
                <w:color w:val="008000"/>
                <w:position w:val="7"/>
                <w:sz w:val="16"/>
                <w:sz w:val="20"/>
                <w:shd w:fill="FFFFFF" w:val="clear"/>
              </w:rPr>
              <w:t>(4)</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2,154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2,165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9.08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by the Reporting Person were effected pursuant to a Rule 10b5-1 trading plan adopted on August 19, 2025. The plan was adopted during an open trading window, at a time when the Reporting Person was not in possession of material non-public information and was reviewed and approved in accordance with the Issuer's Insider Trading Policy. The Issuer's officers and directors from time to time utilize trading plans to transact in its securities for reasons such as satisfying vesting-related income tax requirements, investment diversification, or other personal reasons.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$150.755 to $151.74,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$151.77 to $152.76,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$152.78 to $153.71,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 is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Kathleen A. McGowan,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12570" TargetMode="External"/><Relationship Id="rId5" Type="http://schemas.openxmlformats.org/officeDocument/2006/relationships/hyperlink" Target="http://www.sec.gov/cgi-bin/browse-edgar?action=getcompany&amp;CIK=00015836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950</Words>
  <Characters>5119</Characters>
  <CharactersWithSpaces>5941</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