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Palvella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147320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tbl>
      <w:tblPr>
        <w:tblLayout w:type="fixed"/>
        <w:tblInd w:w="1060" w:type="dxa"/>
        <w:tblCellMar>
          <w:top w:w="0" w:type="dxa"/>
          <w:left w:w="0" w:type="dxa"/>
          <w:bottom w:w="0" w:type="dxa"/>
          <w:right w:w="0" w:type="dxa"/>
        </w:tblCellMar>
      </w:tblPr>
      <w:tr>
        <w:trPr>
          <w:trHeight w:val="222"/>
        </w:trPr>
        <w:tc>
          <w:tcPr>
            <w:tcW w:w="314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001-37471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30-0784346</w:t>
            </w:r>
          </w:p>
        </w:tc>
      </w:tr>
      <w:tr>
        <w:trPr>
          <w:trHeight w:val="148"/>
        </w:trPr>
        <w:tc>
          <w:tcPr>
            <w:tcW w:w="314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4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14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rPr>
              <w:t>353 W. Lancaster Ave, Suite 200</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14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w w:val="99"/>
              </w:rPr>
              <w:t>Wayne, Pennsylvania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19087</w:t>
            </w:r>
          </w:p>
        </w:tc>
      </w:tr>
      <w:tr>
        <w:trPr>
          <w:trHeight w:val="178"/>
        </w:trPr>
        <w:tc>
          <w:tcPr>
            <w:tcW w:w="314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484) 253-1461</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147320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12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11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PVLA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7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0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May 20, 2026, Palvella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that new positive clinical data and findings from the Company’s Phase 3 SELVA and Phase 2 TOIVA studies were reported at the International Society for the Study of Vascular Anomalies World Congress 2026. A copy of the press release is filed as Exhibit 99.1 to this Current Report on Form 8-K and is incorporated herein by reference.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gridSpan w:val="3"/>
            <w:shd w:val="clear" w:color="auto" w:fill="FEFEFE"/>
          </w:tcPr>
          <w:p>
            <w:pPr>
              <w:ind w:left="6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80" w:type="dxa"/>
            <w:vAlign w:val="bottom"/>
            <w:shd w:val="clear" w:color="auto" w:fill="FEFEFE"/>
          </w:tcPr>
          <w:p>
            <w:pPr>
              <w:spacing w:after="0"/>
              <w:rPr>
                <w:sz w:val="18"/>
                <w:szCs w:val="18"/>
                <w:color w:val="auto"/>
              </w:rPr>
            </w:pPr>
          </w:p>
        </w:tc>
        <w:tc>
          <w:tcPr>
            <w:tcW w:w="9740" w:type="dxa"/>
            <w:vAlign w:val="bottom"/>
            <w:gridSpan w:val="3"/>
            <w:shd w:val="clear" w:color="auto" w:fill="FEFEFE"/>
          </w:tcPr>
          <w:p>
            <w:pPr>
              <w:ind w:left="1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2"/>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right w:val="single" w:sz="8" w:color="FEFEFE"/>
            </w:tcBorders>
          </w:tcPr>
          <w:p>
            <w:pPr>
              <w:spacing w:after="0"/>
              <w:rPr>
                <w:sz w:val="18"/>
                <w:szCs w:val="18"/>
                <w:color w:val="auto"/>
              </w:rPr>
            </w:pPr>
          </w:p>
        </w:tc>
        <w:tc>
          <w:tcPr>
            <w:tcW w:w="1060" w:type="dxa"/>
            <w:vAlign w:val="bottom"/>
            <w:tcBorders>
              <w:bottom w:val="single" w:sz="8" w:color="auto"/>
            </w:tcBorders>
            <w:shd w:val="clear" w:color="auto" w:fill="FEFEFE"/>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0" w:type="dxa"/>
            <w:vAlign w:val="bottom"/>
            <w:tcBorders>
              <w:bottom w:val="single" w:sz="8" w:color="FEFEFE"/>
            </w:tcBorders>
            <w:shd w:val="clear" w:color="auto" w:fill="FEFEFE"/>
          </w:tcPr>
          <w:p>
            <w:pPr>
              <w:spacing w:after="0"/>
              <w:rPr>
                <w:sz w:val="18"/>
                <w:szCs w:val="18"/>
                <w:color w:val="auto"/>
              </w:rPr>
            </w:pPr>
          </w:p>
        </w:tc>
        <w:tc>
          <w:tcPr>
            <w:tcW w:w="280" w:type="dxa"/>
            <w:vAlign w:val="bottom"/>
            <w:tcBorders>
              <w:bottom w:val="single" w:sz="8" w:color="FEFEFE"/>
            </w:tcBorders>
            <w:shd w:val="clear" w:color="auto" w:fill="FEFEFE"/>
          </w:tcPr>
          <w:p>
            <w:pPr>
              <w:spacing w:after="0"/>
              <w:rPr>
                <w:sz w:val="18"/>
                <w:szCs w:val="18"/>
                <w:color w:val="auto"/>
              </w:rPr>
            </w:pPr>
          </w:p>
        </w:tc>
        <w:tc>
          <w:tcPr>
            <w:tcW w:w="9120" w:type="dxa"/>
            <w:vAlign w:val="bottom"/>
            <w:tcBorders>
              <w:bottom w:val="single" w:sz="8" w:color="auto"/>
              <w:right w:val="single" w:sz="8" w:color="FEFEFE"/>
            </w:tcBorders>
            <w:gridSpan w:val="2"/>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060" w:type="dxa"/>
            <w:vAlign w:val="bottom"/>
          </w:tcPr>
          <w:p>
            <w:pPr>
              <w:jc w:val="right"/>
              <w:ind w:right="650"/>
              <w:spacing w:after="0" w:line="169" w:lineRule="exact"/>
              <w:rPr>
                <w:sz w:val="20"/>
                <w:szCs w:val="20"/>
                <w:color w:val="auto"/>
              </w:rPr>
            </w:pPr>
            <w:r>
              <w:rPr>
                <w:rFonts w:ascii="Times New Roman" w:cs="Times New Roman" w:eastAsia="Times New Roman" w:hAnsi="Times New Roman"/>
                <w:sz w:val="18"/>
                <w:szCs w:val="18"/>
                <w:color w:val="auto"/>
                <w:w w:val="95"/>
              </w:rPr>
              <w:t>99.1</w:t>
            </w:r>
          </w:p>
        </w:tc>
        <w:tc>
          <w:tcPr>
            <w:tcW w:w="40" w:type="dxa"/>
            <w:vAlign w:val="bottom"/>
          </w:tcPr>
          <w:p>
            <w:pPr>
              <w:spacing w:after="0"/>
              <w:rPr>
                <w:sz w:val="14"/>
                <w:szCs w:val="14"/>
                <w:color w:val="auto"/>
              </w:rPr>
            </w:pPr>
          </w:p>
        </w:tc>
        <w:tc>
          <w:tcPr>
            <w:tcW w:w="280" w:type="dxa"/>
            <w:vAlign w:val="bottom"/>
            <w:shd w:val="clear" w:color="auto" w:fill="FEFEFE"/>
          </w:tcPr>
          <w:p>
            <w:pPr>
              <w:spacing w:after="0"/>
              <w:rPr>
                <w:sz w:val="14"/>
                <w:szCs w:val="14"/>
                <w:color w:val="auto"/>
              </w:rPr>
            </w:pPr>
          </w:p>
        </w:tc>
        <w:tc>
          <w:tcPr>
            <w:tcW w:w="9120" w:type="dxa"/>
            <w:vAlign w:val="bottom"/>
            <w:tcBorders>
              <w:right w:val="single" w:sz="8" w:color="FEFEFE"/>
            </w:tcBorders>
            <w:gridSpan w:val="2"/>
            <w:shd w:val="clear" w:color="auto" w:fill="FEFEFE"/>
          </w:tcPr>
          <w:p>
            <w:pPr>
              <w:spacing w:after="0" w:line="169" w:lineRule="exact"/>
              <w:rPr>
                <w:sz w:val="20"/>
                <w:szCs w:val="20"/>
                <w:color w:val="auto"/>
              </w:rPr>
            </w:pPr>
            <w:r>
              <w:rPr>
                <w:rFonts w:ascii="Times New Roman" w:cs="Times New Roman" w:eastAsia="Times New Roman" w:hAnsi="Times New Roman"/>
                <w:sz w:val="18"/>
                <w:szCs w:val="18"/>
                <w:color w:val="0000FF"/>
              </w:rPr>
              <w:t>Press Release issued by Palvella Therapeutics, Inc. on May 20, 2026*</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FEFEFE"/>
            </w:tcBorders>
            <w:shd w:val="clear" w:color="auto" w:fill="FEFEFE"/>
          </w:tcPr>
          <w:p>
            <w:pPr>
              <w:spacing w:after="0" w:line="20" w:lineRule="exact"/>
              <w:rPr>
                <w:sz w:val="1"/>
                <w:szCs w:val="1"/>
                <w:color w:val="auto"/>
              </w:rPr>
            </w:pPr>
          </w:p>
        </w:tc>
        <w:tc>
          <w:tcPr>
            <w:tcW w:w="5020" w:type="dxa"/>
            <w:vAlign w:val="bottom"/>
            <w:tcBorders>
              <w:top w:val="single" w:sz="8" w:color="0000FF"/>
            </w:tcBorders>
            <w:shd w:val="clear" w:color="auto" w:fill="FEFEFE"/>
          </w:tcPr>
          <w:p>
            <w:pPr>
              <w:spacing w:after="0" w:line="20" w:lineRule="exact"/>
              <w:rPr>
                <w:sz w:val="1"/>
                <w:szCs w:val="1"/>
                <w:color w:val="auto"/>
              </w:rPr>
            </w:pPr>
          </w:p>
        </w:tc>
        <w:tc>
          <w:tcPr>
            <w:tcW w:w="4100" w:type="dxa"/>
            <w:vAlign w:val="bottom"/>
            <w:tcBorders>
              <w:top w:val="single" w:sz="8" w:color="FEFEFE"/>
              <w:right w:val="single" w:sz="8" w:color="FEFEFE"/>
            </w:tcBorders>
            <w:shd w:val="clear" w:color="auto" w:fill="FEFEF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-282575</wp:posOffset>
            </wp:positionV>
            <wp:extent cx="6703695" cy="420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420370"/>
                    </a:xfrm>
                    <a:prstGeom prst="rect">
                      <a:avLst/>
                    </a:prstGeom>
                    <a:noFill/>
                  </pic:spPr>
                </pic:pic>
              </a:graphicData>
            </a:graphic>
          </wp:anchor>
        </w:drawing>
      </w:r>
    </w:p>
    <w:p>
      <w:pPr>
        <w:ind w:left="1500" w:hanging="1380"/>
        <w:spacing w:after="0"/>
        <w:tabs>
          <w:tab w:leader="none" w:pos="1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Palvella Therapeutics, Inc.</w:t>
            </w:r>
          </w:p>
        </w:tc>
      </w:tr>
      <w:tr>
        <w:trPr>
          <w:trHeight w:val="5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20,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Matthew Korenberg</w:t>
            </w:r>
          </w:p>
        </w:tc>
      </w:tr>
      <w:tr>
        <w:trPr>
          <w:trHeight w:val="216"/>
        </w:trPr>
        <w:tc>
          <w:tcPr>
            <w:tcW w:w="5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Korenberg</w:t>
            </w:r>
          </w:p>
        </w:tc>
      </w:tr>
      <w:tr>
        <w:trPr>
          <w:trHeight w:val="236"/>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979"/>
        </w:trPr>
        <w:tc>
          <w:tcPr>
            <w:tcW w:w="5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28420"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28420" cy="514350"/>
                    </a:xfrm>
                    <a:prstGeom prst="rect">
                      <a:avLst/>
                    </a:prstGeom>
                    <a:noFill/>
                  </pic:spPr>
                </pic:pic>
              </a:graphicData>
            </a:graphic>
          </wp:anchor>
        </w:drawing>
      </w:r>
    </w:p>
    <w:p>
      <w:pPr>
        <w:jc w:val="center"/>
        <w:ind w:right="40"/>
        <w:spacing w:after="0" w:line="246" w:lineRule="auto"/>
        <w:rPr>
          <w:sz w:val="20"/>
          <w:szCs w:val="20"/>
          <w:color w:val="auto"/>
        </w:rPr>
      </w:pPr>
      <w:r>
        <w:rPr>
          <w:rFonts w:ascii="Times New Roman" w:cs="Times New Roman" w:eastAsia="Times New Roman" w:hAnsi="Times New Roman"/>
          <w:sz w:val="22"/>
          <w:szCs w:val="22"/>
          <w:b w:val="1"/>
          <w:bCs w:val="1"/>
          <w:color w:val="auto"/>
        </w:rPr>
        <w:t>Palvella Therapeutics Presents New SELVA and TOIVA Data at the 2026 International Society for the Study of Vascular Anomalies World Congress Supporting QTORIN™ Rapamycin as a Potential First-in-Disease Therapy for Multiple Serious, Rare Vascular Malformations</w:t>
      </w:r>
    </w:p>
    <w:p>
      <w:pPr>
        <w:spacing w:after="0" w:line="194" w:lineRule="exact"/>
        <w:rPr>
          <w:sz w:val="20"/>
          <w:szCs w:val="20"/>
          <w:color w:val="auto"/>
        </w:rPr>
      </w:pPr>
    </w:p>
    <w:p>
      <w:pPr>
        <w:jc w:val="center"/>
        <w:ind w:right="40"/>
        <w:spacing w:after="0" w:line="246" w:lineRule="auto"/>
        <w:rPr>
          <w:sz w:val="20"/>
          <w:szCs w:val="20"/>
          <w:color w:val="auto"/>
        </w:rPr>
      </w:pPr>
      <w:r>
        <w:rPr>
          <w:rFonts w:ascii="Times New Roman" w:cs="Times New Roman" w:eastAsia="Times New Roman" w:hAnsi="Times New Roman"/>
          <w:sz w:val="22"/>
          <w:szCs w:val="22"/>
          <w:i w:val="1"/>
          <w:iCs w:val="1"/>
          <w:color w:val="auto"/>
        </w:rPr>
        <w:t>In SELVA Phase 3 study, 100% of participants (13/13) aged 6–11 years were rated as “Much Improved” (+2) or “Very Much Improved” (+3) on the Microcystic Lymphatic Malformation Investigator Global Assessment (mLM-IGA) scale at Week 24, with a mean improvement of +2.46 (p&lt;0.001)</w:t>
      </w:r>
    </w:p>
    <w:p>
      <w:pPr>
        <w:spacing w:after="0" w:line="194" w:lineRule="exact"/>
        <w:rPr>
          <w:sz w:val="20"/>
          <w:szCs w:val="20"/>
          <w:color w:val="auto"/>
        </w:rPr>
      </w:pPr>
    </w:p>
    <w:p>
      <w:pPr>
        <w:jc w:val="center"/>
        <w:ind w:right="40"/>
        <w:spacing w:after="0" w:line="246" w:lineRule="auto"/>
        <w:rPr>
          <w:sz w:val="20"/>
          <w:szCs w:val="20"/>
          <w:color w:val="auto"/>
        </w:rPr>
      </w:pPr>
      <w:r>
        <w:rPr>
          <w:rFonts w:ascii="Times New Roman" w:cs="Times New Roman" w:eastAsia="Times New Roman" w:hAnsi="Times New Roman"/>
          <w:sz w:val="22"/>
          <w:szCs w:val="22"/>
          <w:i w:val="1"/>
          <w:iCs w:val="1"/>
          <w:color w:val="auto"/>
        </w:rPr>
        <w:t>87% of participants (20/23) in SELVA with moderate or worse leaking/bleeding at baseline were rated as “Much Improved” (+2) or “Very Much Improved” (+3) on the mLM-IGA Leaking/Bleeding at Week 24, with a mean improvement of +2.48 (p&lt;0.001)</w:t>
      </w:r>
    </w:p>
    <w:p>
      <w:pPr>
        <w:spacing w:after="0" w:line="194" w:lineRule="exact"/>
        <w:rPr>
          <w:sz w:val="20"/>
          <w:szCs w:val="20"/>
          <w:color w:val="auto"/>
        </w:rPr>
      </w:pPr>
    </w:p>
    <w:p>
      <w:pPr>
        <w:jc w:val="center"/>
        <w:ind w:right="60"/>
        <w:spacing w:after="0" w:line="246" w:lineRule="auto"/>
        <w:rPr>
          <w:sz w:val="20"/>
          <w:szCs w:val="20"/>
          <w:color w:val="auto"/>
        </w:rPr>
      </w:pPr>
      <w:r>
        <w:rPr>
          <w:rFonts w:ascii="Times New Roman" w:cs="Times New Roman" w:eastAsia="Times New Roman" w:hAnsi="Times New Roman"/>
          <w:sz w:val="22"/>
          <w:szCs w:val="22"/>
          <w:i w:val="1"/>
          <w:iCs w:val="1"/>
          <w:color w:val="auto"/>
        </w:rPr>
        <w:t>100% of SELVA participants who completed the efficacy evaluation period (43/43) were at least somewhat satisfied with QTORIN™ rapamycin on the TSQM-9 overall satisfaction item at Week 24, with 84% reporting extremely satisfied, very satisfied, or satisfied</w:t>
      </w:r>
    </w:p>
    <w:p>
      <w:pPr>
        <w:spacing w:after="0" w:line="194"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i w:val="1"/>
          <w:iCs w:val="1"/>
          <w:color w:val="auto"/>
        </w:rPr>
        <w:t>Blinded independent review demonstrated pre-treatment stability during the 8-week run-in period, followed by marked improvement on QTORIN™ rapamycin, supporting SELVA’s single-arm, baseline-controlled design</w:t>
      </w:r>
    </w:p>
    <w:p>
      <w:pPr>
        <w:spacing w:after="0" w:line="177" w:lineRule="exact"/>
        <w:rPr>
          <w:sz w:val="20"/>
          <w:szCs w:val="20"/>
          <w:color w:val="auto"/>
        </w:rPr>
      </w:pPr>
    </w:p>
    <w:p>
      <w:pPr>
        <w:jc w:val="center"/>
        <w:ind w:right="40"/>
        <w:spacing w:after="0" w:line="246" w:lineRule="auto"/>
        <w:rPr>
          <w:sz w:val="20"/>
          <w:szCs w:val="20"/>
          <w:color w:val="auto"/>
        </w:rPr>
      </w:pPr>
      <w:r>
        <w:rPr>
          <w:rFonts w:ascii="Times New Roman" w:cs="Times New Roman" w:eastAsia="Times New Roman" w:hAnsi="Times New Roman"/>
          <w:sz w:val="22"/>
          <w:szCs w:val="22"/>
          <w:i w:val="1"/>
          <w:iCs w:val="1"/>
          <w:color w:val="auto"/>
        </w:rPr>
        <w:t>TOIVA Phase 2 study demonstrated statistically significant improvements in both cVM-MCSS Height and cVM-MCSS Appearance at all measured time points, with increasing clinical response observed with longer duration of QTORIN™ rapamycin therapy</w:t>
      </w:r>
    </w:p>
    <w:p>
      <w:pPr>
        <w:spacing w:after="0" w:line="194"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i w:val="1"/>
          <w:iCs w:val="1"/>
          <w:color w:val="auto"/>
        </w:rPr>
        <w:t>QTORIN™ rapamycin has the potential to become the first FDA-approved therapy and standard of care for microcystic lymphatic malformations and cutaneous venous malformations</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WAYNE, PA., May 20, 2026 (GLOBE NEWSWIRE) -- Palvella Therapeutics, Inc. (Palvella or “the Company”) (Nasdaq: PVLA), a clinical-stage biopharmaceutical company focused on developing and commercializing novel therapies to treat patients suffering from serious, rare skin diseases and vascular malformations for which there are no U.S. Food and Drug Administration (FDA)-approved therapies, today announced new clinical data from the Phase 3 SELVA and Phase 2 TOIVA studies were reported at the International Society for the Study of Vascular Anomalies (ISSVA) World Congress 2026 in Philadelphia, PA. The presentation, given by James Treat, MD, Professor of Clinical Pediatrics and Dermatology at the Children’s Hospital of Philadelphia, can be found </w:t>
      </w:r>
      <w:r>
        <w:rPr>
          <w:rFonts w:ascii="Times New Roman" w:cs="Times New Roman" w:eastAsia="Times New Roman" w:hAnsi="Times New Roman"/>
          <w:sz w:val="22"/>
          <w:szCs w:val="22"/>
          <w:u w:val="single" w:color="auto"/>
          <w:color w:val="auto"/>
        </w:rPr>
        <w:t>here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“Data presented today at ISSVA further strengthen our conviction that QTORIN™ rapamycin has the potential to become the first FDA-approved therapy for microcystic lymphatic malformations and cutaneous venous malformations,” said Wes Kaupinen, Founder and Chief Executive Officer of Palvella. “As understanding of the mTOR pathway biology underlying lymphatic and venous malformations has advanced, this pathway has emerged as a key therapeutic target, yet there remain no FDA-approved therapies for microcystic lymphatic malformations or cutaneous venous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38" w:lineRule="auto"/>
        <w:rPr>
          <w:sz w:val="20"/>
          <w:szCs w:val="20"/>
          <w:color w:val="auto"/>
        </w:rPr>
      </w:pPr>
      <w:r>
        <w:rPr>
          <w:rFonts w:ascii="Times New Roman" w:cs="Times New Roman" w:eastAsia="Times New Roman" w:hAnsi="Times New Roman"/>
          <w:sz w:val="22"/>
          <w:szCs w:val="22"/>
          <w:color w:val="auto"/>
        </w:rPr>
        <w:t>malformations. We believe these localized, cutaneous diseases are well-suited to QTORIN™ rapamycin’s targeted topical approach as a potential chronic therapy designed to address the underlying mTOR pathway biology directly in the pathogenic tissue of interest while minimizing systemic exposure. Importantly, data presented in younger patients further support the potential role of early intervention in these serious, progressive diseases. We remain on track to file our NDA in the second half of 2026 for microcystic lymphatic malformations, with potential approval targeted in the first half of 2027.”</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QTORIN™ rapamycin for Microcystic Lymphatic Malformations: Additional Data from SELVA study</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SELVA is a Phase 3, single-arm, baseline-controlled clinical trial of QTORIN™ rapamycin administered topically once daily for a 24-week efficacy evaluation period followed by an open-label extension period, for microcystic lymphatic malformations (microcystic LMs). Palvella previously </w:t>
      </w:r>
      <w:r>
        <w:rPr>
          <w:rFonts w:ascii="Times New Roman" w:cs="Times New Roman" w:eastAsia="Times New Roman" w:hAnsi="Times New Roman"/>
          <w:sz w:val="21"/>
          <w:szCs w:val="21"/>
          <w:u w:val="single" w:color="auto"/>
          <w:color w:val="auto"/>
        </w:rPr>
        <w:t>announced</w:t>
      </w:r>
      <w:r>
        <w:rPr>
          <w:rFonts w:ascii="Times New Roman" w:cs="Times New Roman" w:eastAsia="Times New Roman" w:hAnsi="Times New Roman"/>
          <w:sz w:val="21"/>
          <w:szCs w:val="21"/>
          <w:color w:val="auto"/>
        </w:rPr>
        <w:t xml:space="preserve"> positive topline results from this study in February 2026, including achieving statistical significance on the primary endpoint, key secondary endpoint, and all pre-specified secondary efficacy endpoints.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data presented today highlight:</w:t>
      </w:r>
    </w:p>
    <w:p>
      <w:pPr>
        <w:spacing w:after="0" w:line="233" w:lineRule="exact"/>
        <w:rPr>
          <w:sz w:val="20"/>
          <w:szCs w:val="20"/>
          <w:color w:val="auto"/>
        </w:rPr>
      </w:pPr>
    </w:p>
    <w:p>
      <w:pPr>
        <w:ind w:left="760" w:right="20" w:hanging="378"/>
        <w:spacing w:after="0" w:line="253" w:lineRule="auto"/>
        <w:tabs>
          <w:tab w:leader="none" w:pos="7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participants aged 6–11 years (n=13), QTORIN™ rapamycin demonstrated statistically significant improvement on the Microcystic Lymphatic Malformation Investigator Global Assessment (mLM-IGA) of +2.46 at Week 24 (p&lt;0.001).</w:t>
      </w:r>
    </w:p>
    <w:p>
      <w:pPr>
        <w:ind w:left="1500" w:right="340" w:hanging="374"/>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 100% of participants in this cohort were rated “Much Improved” (+2) or “Very Much Improved” (+3) on the mLM-IGA at Week 24.</w:t>
      </w:r>
    </w:p>
    <w:p>
      <w:pPr>
        <w:spacing w:after="0" w:line="1" w:lineRule="exact"/>
        <w:rPr>
          <w:rFonts w:ascii="Times New Roman" w:cs="Times New Roman" w:eastAsia="Times New Roman" w:hAnsi="Times New Roman"/>
          <w:sz w:val="21"/>
          <w:szCs w:val="21"/>
          <w:color w:val="auto"/>
        </w:rPr>
      </w:pPr>
    </w:p>
    <w:p>
      <w:pPr>
        <w:ind w:left="1500" w:right="660" w:hanging="374"/>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 At Week 24, 100% of participants elected to continue QTORIN™ rapamycin in the Treatment Extension period, reflecting strong interest in ongoing therapy.</w:t>
      </w:r>
    </w:p>
    <w:p>
      <w:pPr>
        <w:spacing w:after="0" w:line="1" w:lineRule="exact"/>
        <w:rPr>
          <w:rFonts w:ascii="Times New Roman" w:cs="Times New Roman" w:eastAsia="Times New Roman" w:hAnsi="Times New Roman"/>
          <w:sz w:val="21"/>
          <w:szCs w:val="21"/>
          <w:color w:val="auto"/>
        </w:rPr>
      </w:pPr>
    </w:p>
    <w:p>
      <w:pPr>
        <w:ind w:left="760" w:right="800" w:hanging="378"/>
        <w:spacing w:after="0" w:line="230" w:lineRule="auto"/>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microcystic LMs, bleeding and leaking represent some of the most debilitating and hardest-to-control disease manifestations.</w:t>
      </w:r>
    </w:p>
    <w:p>
      <w:pPr>
        <w:spacing w:after="0" w:line="1" w:lineRule="exact"/>
        <w:rPr>
          <w:rFonts w:ascii="Times New Roman" w:cs="Times New Roman" w:eastAsia="Times New Roman" w:hAnsi="Times New Roman"/>
          <w:sz w:val="22"/>
          <w:szCs w:val="22"/>
          <w:color w:val="auto"/>
        </w:rPr>
      </w:pPr>
    </w:p>
    <w:p>
      <w:pPr>
        <w:ind w:left="1500" w:right="340" w:hanging="374"/>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 In participants with moderate or worse leaking/bleeding at baseline (n=23), QTORIN™ rapamycin demonstrated statistically significant improvement on the mLM-IGA Leaking/Bleeding of +2.48 at Week 24 (p&lt;0.001).</w:t>
      </w:r>
    </w:p>
    <w:p>
      <w:pPr>
        <w:spacing w:after="0" w:line="1" w:lineRule="exact"/>
        <w:rPr>
          <w:rFonts w:ascii="Times New Roman" w:cs="Times New Roman" w:eastAsia="Times New Roman" w:hAnsi="Times New Roman"/>
          <w:sz w:val="22"/>
          <w:szCs w:val="22"/>
          <w:color w:val="auto"/>
        </w:rPr>
      </w:pPr>
    </w:p>
    <w:p>
      <w:pPr>
        <w:ind w:left="11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   87% of participants (20/23) with moderate or worse leaking/bleeding at baseline were rated as “Much</w:t>
      </w:r>
    </w:p>
    <w:p>
      <w:pPr>
        <w:ind w:left="15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Improved” (+2) or “Very Much Improved” (+3) on the mLM-IGA Leaking/Bleeding at Week 24.</w:t>
      </w:r>
    </w:p>
    <w:p>
      <w:pPr>
        <w:ind w:left="760" w:right="240" w:hanging="378"/>
        <w:spacing w:after="0" w:line="230" w:lineRule="auto"/>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SELVA incorporated multiple structured approaches to capture the patient voice, including both the Treatment Satisfaction Questionnaire for Medication (TSQM), a patient-reported outcome measure that assesses satisfaction with medication, and patient qualitative interviews, providing patient-derived evidence that helps contextualize the clinical meaningfulness of QTORIN™ rapamycin’s treatment effect.</w:t>
      </w:r>
    </w:p>
    <w:p>
      <w:pPr>
        <w:spacing w:after="0" w:line="2" w:lineRule="exact"/>
        <w:rPr>
          <w:rFonts w:ascii="Times New Roman" w:cs="Times New Roman" w:eastAsia="Times New Roman" w:hAnsi="Times New Roman"/>
          <w:sz w:val="22"/>
          <w:szCs w:val="22"/>
          <w:color w:val="auto"/>
        </w:rPr>
      </w:pPr>
    </w:p>
    <w:p>
      <w:pPr>
        <w:ind w:left="1500" w:right="160" w:hanging="374"/>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 100% of SELVA participants who completed the efficacy evaluation period (43/43) were at least somewhat satisfied with QTORIN™ rapamycin on the TSQM-9 overall satisfaction item at Week 24, with 84% reporting extremely satisfied, very satisfied, or satisfied.</w:t>
      </w:r>
    </w:p>
    <w:p>
      <w:pPr>
        <w:spacing w:after="0" w:line="1" w:lineRule="exact"/>
        <w:rPr>
          <w:rFonts w:ascii="Times New Roman" w:cs="Times New Roman" w:eastAsia="Times New Roman" w:hAnsi="Times New Roman"/>
          <w:sz w:val="22"/>
          <w:szCs w:val="22"/>
          <w:color w:val="auto"/>
        </w:rPr>
      </w:pPr>
    </w:p>
    <w:p>
      <w:pPr>
        <w:ind w:left="1500" w:right="620" w:hanging="374"/>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 A pre-specified patient qualitative interview sub-study was incorporated to capture the patient experience consistent with FDA’s Patient-Focused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 w:name="page6"/>
    <w:bookmarkEnd w:id="5"/>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28420"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28420" cy="514350"/>
                    </a:xfrm>
                    <a:prstGeom prst="rect">
                      <a:avLst/>
                    </a:prstGeom>
                    <a:noFill/>
                  </pic:spPr>
                </pic:pic>
              </a:graphicData>
            </a:graphic>
          </wp:anchor>
        </w:drawing>
      </w:r>
    </w:p>
    <w:p>
      <w:pPr>
        <w:ind w:left="1500" w:right="440"/>
        <w:spacing w:after="0" w:line="241" w:lineRule="auto"/>
        <w:rPr>
          <w:sz w:val="20"/>
          <w:szCs w:val="20"/>
          <w:color w:val="auto"/>
        </w:rPr>
      </w:pPr>
      <w:r>
        <w:rPr>
          <w:rFonts w:ascii="Times New Roman" w:cs="Times New Roman" w:eastAsia="Times New Roman" w:hAnsi="Times New Roman"/>
          <w:sz w:val="22"/>
          <w:szCs w:val="22"/>
          <w:color w:val="auto"/>
        </w:rPr>
        <w:t>Development framework. Interviews captured patient-reported positive changes in quality-of-life following QTORIN™ rapamycin treatment.</w:t>
      </w:r>
    </w:p>
    <w:p>
      <w:pPr>
        <w:spacing w:after="0" w:line="2" w:lineRule="exact"/>
        <w:rPr>
          <w:sz w:val="20"/>
          <w:szCs w:val="20"/>
          <w:color w:val="auto"/>
        </w:rPr>
      </w:pPr>
    </w:p>
    <w:p>
      <w:pPr>
        <w:ind w:left="760" w:right="540" w:hanging="378"/>
        <w:spacing w:after="0" w:line="230" w:lineRule="auto"/>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blinded independent review demonstrated pre-treatment stability during the 8-week run-in period, followed by marked improvement on QTORIN™ rapamycin, supporting SELVA’s single-arm, baseline-controlled design</w:t>
      </w:r>
    </w:p>
    <w:p>
      <w:pPr>
        <w:spacing w:after="0" w:line="1" w:lineRule="exact"/>
        <w:rPr>
          <w:rFonts w:ascii="Times New Roman" w:cs="Times New Roman" w:eastAsia="Times New Roman" w:hAnsi="Times New Roman"/>
          <w:sz w:val="22"/>
          <w:szCs w:val="22"/>
          <w:color w:val="auto"/>
        </w:rPr>
      </w:pPr>
    </w:p>
    <w:p>
      <w:pPr>
        <w:ind w:left="1500" w:right="840" w:hanging="374"/>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 During the 8-week pre-treatment run-in period, the mean change in the blinded Microcystic Lymphatic Malformation Multi-Component Static Scale (mLM-MCSS) score was -0.1.</w:t>
      </w:r>
    </w:p>
    <w:p>
      <w:pPr>
        <w:spacing w:after="0" w:line="1" w:lineRule="exact"/>
        <w:rPr>
          <w:rFonts w:ascii="Times New Roman" w:cs="Times New Roman" w:eastAsia="Times New Roman" w:hAnsi="Times New Roman"/>
          <w:sz w:val="22"/>
          <w:szCs w:val="22"/>
          <w:color w:val="auto"/>
        </w:rPr>
      </w:pPr>
    </w:p>
    <w:p>
      <w:pPr>
        <w:ind w:left="1500" w:right="60" w:hanging="374"/>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 After 24 weeks of treatment, the blinded mean mLM-MCSS score improved by -3.4 points, decreasing from 9.9 at Day 1 to 6.6 at Week 24, representing 48% of the maximum potential improvement from Day 1.</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Palvella plans to submit a New Drug Application to the U.S. FDA for QTORIN™ rapamycin for Microcystic LMs in the second half of 2026. QTORIN™ rapamycin has received Breakthrough Therapy, Orphan Drug, and Fast Track designations from the FDA for the treatment of microcystic LMs, as well as an FDA Orphan Products Development grant.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QTORIN™ rapamycin for Cutaneous Venous Malformations: Additional Data from TOIVA study</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TOIVA is a Phase 2, single-arm, open-label, baseline-controlled clinical trial of QTORIN™ rapamycin administered topically once daily for a 12-week efficacy evaluation period followed by a 12-week treatment extension period, for cutaneous venous malformations (cutaneous VMs). Palvella </w:t>
      </w:r>
      <w:r>
        <w:rPr>
          <w:rFonts w:ascii="Times New Roman" w:cs="Times New Roman" w:eastAsia="Times New Roman" w:hAnsi="Times New Roman"/>
          <w:sz w:val="22"/>
          <w:szCs w:val="22"/>
          <w:u w:val="single" w:color="auto"/>
          <w:color w:val="auto"/>
        </w:rPr>
        <w:t>announced</w:t>
      </w:r>
      <w:r>
        <w:rPr>
          <w:rFonts w:ascii="Times New Roman" w:cs="Times New Roman" w:eastAsia="Times New Roman" w:hAnsi="Times New Roman"/>
          <w:sz w:val="22"/>
          <w:szCs w:val="22"/>
          <w:color w:val="auto"/>
        </w:rPr>
        <w:t xml:space="preserve"> positive topline results from this study in December 2025. TOIVA achieved statistical significance on multiple pre-specified clinician-reported and patient-reported efficacy endpoints.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data presented today highlight:</w:t>
      </w:r>
    </w:p>
    <w:p>
      <w:pPr>
        <w:spacing w:after="0" w:line="233" w:lineRule="exact"/>
        <w:rPr>
          <w:sz w:val="20"/>
          <w:szCs w:val="20"/>
          <w:color w:val="auto"/>
        </w:rPr>
      </w:pPr>
    </w:p>
    <w:p>
      <w:pPr>
        <w:jc w:val="both"/>
        <w:ind w:left="760" w:right="100" w:hanging="378"/>
        <w:spacing w:after="0" w:line="238" w:lineRule="auto"/>
        <w:tabs>
          <w:tab w:leader="none" w:pos="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TOIVA Phase 2 study demonstrated statistically significant improvements in both cVM-MCSS Height and cVM-MCSS Appearance at all measured time points, with increasing clinical response observed with longer duration of QTORIN™ rapamycin therapy</w:t>
      </w:r>
    </w:p>
    <w:p>
      <w:pPr>
        <w:ind w:left="1500" w:right="480" w:hanging="374"/>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 At Week 24, treatment with QTORIN™ rapamycin demonstrated a mean reduction of 1.50 points in cVM-MCSS Height score (n=14; p&lt;0.001).</w:t>
      </w:r>
    </w:p>
    <w:p>
      <w:pPr>
        <w:spacing w:after="0" w:line="1" w:lineRule="exact"/>
        <w:rPr>
          <w:rFonts w:ascii="Times New Roman" w:cs="Times New Roman" w:eastAsia="Times New Roman" w:hAnsi="Times New Roman"/>
          <w:sz w:val="22"/>
          <w:szCs w:val="22"/>
          <w:color w:val="auto"/>
        </w:rPr>
      </w:pPr>
    </w:p>
    <w:p>
      <w:pPr>
        <w:ind w:left="1500" w:right="480" w:hanging="374"/>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 At Week 24, treatment with QTORIN™ rapamycin demonstrated a mean reduction of 1.43 points in cVM-MCSS Appearance score (n=14; p&lt;0.001).</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Palvella plans to initiate a Phase 3 trial of QTORIN™ rapamycin for the treatment of cutaneous venous malformations in the second half of 2026. QTORIN™ rapamycin has received FDA Fast Track Designation for cutaneous venous malformations, and Palvella has submitted an application to FDA for Breakthrough Therapy Designation in this indication.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Palvella Therapeutics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Founded and led by rare disease biotech veterans, Palvella Therapeutics, Inc. (Nasdaq: PVLA) is a clinical-stage biopharmaceutical company focused on developing and commercializing novel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35" w:lineRule="auto"/>
        <w:rPr>
          <w:sz w:val="20"/>
          <w:szCs w:val="20"/>
          <w:color w:val="auto"/>
        </w:rPr>
      </w:pPr>
      <w:r>
        <w:rPr>
          <w:rFonts w:ascii="Times New Roman" w:cs="Times New Roman" w:eastAsia="Times New Roman" w:hAnsi="Times New Roman"/>
          <w:sz w:val="22"/>
          <w:szCs w:val="22"/>
          <w:color w:val="auto"/>
        </w:rPr>
        <w:t>therapies to treat patients suffering from serious, rare skin diseases and vascular malformations for which there are no FDA-approved therapies. Palvella is developing a broad pipeline of product candidates based on its patented QTORIN™ platform, with an initial focus on serious, rare skin diseases and vascular malformations, many of which are lifelong in nature. Palvella’s lead product candidate, QTORIN™ 3.9% rapamycin anhydrous gel (QTORIN™ rapamycin), is currently being developed for the treatment of microcystic lymphatic malformations, cutaneous venous malformations, and clinically significant angiokeratomas. Palvella’s second product candidate, QTORIN™ pitavastatin, is currently being developed for the treatment of disseminated superficial actinic porokeratosis. For more information, please visit www.palvellatx.com or follow Palvella on LinkedIn or X (formerly known as Twitter).</w:t>
      </w:r>
    </w:p>
    <w:p>
      <w:pPr>
        <w:spacing w:after="0" w:line="20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QTORIN™ rapamycin and QTORIN™ pitavastatin are for investigational use only and neither has been approved by the FDA or by any other regulatory agency for any indication.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James Treat, MD, is a paid consultant to Palvella Therapeutics, Inc., and has participated as a site investigator at Children’s Hospital of Philadelphia for portions of the Phase 3 SELVA study.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press release contains forward-looking statements (including within the meaning of Section 21E of the Securities Exchange Act of 1934, as amended, and Section 27A of the Securities Act of 1933, as amended (Securities Act)). These statements may discuss goals, intentions, and expectations as to future plans, trends, events, results of operations or financial condition, or otherwise, based on current beliefs of the management of Palvella, as well as assumptions made by, and information currently available to, the management of Palvella.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or the negative or plural of these words, or other similar expressions that are predictions or indicate future events or prospects, although not all forward-looking statements contain these words. Statements that are not historical facts are forward-looking statements. Forward-looking statements include, but are not limited to, statements regarding the expected timing of the presentation of data from clinical trials, Palvella’s clinical development plans and related anticipated development milestones, Palvella’s plans to pursue Breakthrough Therapy Designation, Palvella’s plans to meet with regulatory authorities, Palvella’s expectations regarding the benefits of orphan drug designation and potential benefit of orphan drug exclusivity for QTORIN™ rapamycin for the treatment of microcystic lymphatic malformations, Palvella’s cash, financial resources and expected runway, Palvella’s expectations regarding its programs, including QTORIN™ rapamycin and QTORIN™ pitavastatin, and its research-stage opportunities, including its expected therapeutic potential and market opportunity.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the ability to raise additional capital to finance operations; the ability to advance product candidates through preclinical and clinical development; the ability to obtain regulatory approval for, and ultimately commercialize, Palvella’s product candidates, including QTORIN™ rapamycin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 w:name="page8"/>
    <w:bookmarkEnd w:id="7"/>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28420" cy="51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28420" cy="514350"/>
                    </a:xfrm>
                    <a:prstGeom prst="rect">
                      <a:avLst/>
                    </a:prstGeom>
                    <a:noFill/>
                  </pic:spPr>
                </pic:pic>
              </a:graphicData>
            </a:graphic>
          </wp:anchor>
        </w:drawing>
      </w:r>
    </w:p>
    <w:p>
      <w:pPr>
        <w:jc w:val="both"/>
        <w:spacing w:after="0" w:line="244" w:lineRule="auto"/>
        <w:rPr>
          <w:sz w:val="20"/>
          <w:szCs w:val="20"/>
          <w:color w:val="auto"/>
        </w:rPr>
      </w:pPr>
      <w:r>
        <w:rPr>
          <w:rFonts w:ascii="Times New Roman" w:cs="Times New Roman" w:eastAsia="Times New Roman" w:hAnsi="Times New Roman"/>
          <w:sz w:val="21"/>
          <w:szCs w:val="21"/>
          <w:color w:val="auto"/>
        </w:rPr>
        <w:t>QTORIN™ pitavastatin; the outcome of early clinical trials for Palvella’s product candidates, including the ability of those trials to satisfy relevant governmental or regulatory requirements; the fact that data and results from clinical studies may not necessarily be indicative of future results; Palvella’s limited experience in designing clinical trials and lack of experience in conducting clinical trials; Palvella’s limited experience in commercial manufacturing; the ability to identify and pivot to other programs, product candidates, or indications that may be more profitable or successful than Palvella’s current product candidates; the substantial competition Palvella faces in discovering, developing, or commercializing products; the negative impacts of global events on operations, including ongoing and planned clinical trials and ongoing and planned preclinical studies; the ability to attract, hire, and retain skilled executive officers and employees; the ability of Palvella to protect its intellectual property and proprietary technologies; reliance on third parties, contract manufacturers, and contract research organizations; and the risks and uncertainties described in the filings made by Palvella with the Securities and Exchange Commission (SEC), including the annual report on Form 10-K, quarterly reports on Form 10-Q and current reports on Form 8-K, filed with or furnished to the SEC and available at www.sec.gov. The events and circumstances reflected in our forward-looking statements may not be achieved or occur, and actual results could differ materially from those projected in the forward-looking statements. New risk factors and uncertainties may emerge from time to time, and it is not possible for management to predict all risk factors and uncertainties that Palvella may face. Except as required by applicable law, Palvella does not plan to publicly update or revise any forward-looking statements contained herein, whether as a result of any new information, future events, changed circumstances or otherwise. This press release contains hyperlinks to information that is not deemed to be incorporated by reference into this press release.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Wesley H. Kaupinen</w:t>
      </w:r>
    </w:p>
    <w:p>
      <w:pPr>
        <w:spacing w:after="0" w:line="230" w:lineRule="auto"/>
        <w:rPr>
          <w:sz w:val="20"/>
          <w:szCs w:val="20"/>
          <w:color w:val="auto"/>
        </w:rPr>
      </w:pPr>
      <w:r>
        <w:rPr>
          <w:rFonts w:ascii="Times New Roman" w:cs="Times New Roman" w:eastAsia="Times New Roman" w:hAnsi="Times New Roman"/>
          <w:sz w:val="22"/>
          <w:szCs w:val="22"/>
          <w:color w:val="auto"/>
        </w:rPr>
        <w:t>Founder and CEO, Palvella Therapeutics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wes.kaupinen@palvellatx.com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Media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Marcy Nanus</w:t>
      </w:r>
    </w:p>
    <w:p>
      <w:pPr>
        <w:spacing w:after="0" w:line="230" w:lineRule="auto"/>
        <w:rPr>
          <w:sz w:val="20"/>
          <w:szCs w:val="20"/>
          <w:color w:val="auto"/>
        </w:rPr>
      </w:pPr>
      <w:r>
        <w:rPr>
          <w:rFonts w:ascii="Times New Roman" w:cs="Times New Roman" w:eastAsia="Times New Roman" w:hAnsi="Times New Roman"/>
          <w:sz w:val="22"/>
          <w:szCs w:val="22"/>
          <w:color w:val="auto"/>
        </w:rPr>
        <w:t>Managing Partner, Trilon Advisors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mnanus@trilonadvisors.com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1148715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0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2026-05-20T15:42:10Z</dcterms:created>
  <dcterms:modified xsi:type="dcterms:W3CDTF">2026-05-20T15:42:10Z</dcterms:modified>
</cp:coreProperties>
</file>