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0001271081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6"/>
        <w:gridCol w:w="4499"/>
      </w:tblGrid>
      <w:tr>
        <w:trPr/>
        <w:tc>
          <w:tcPr>
            <w:tcW w:w="5706" w:type="dxa"/>
            <w:tcBorders/>
            <w:vAlign w:val="center"/>
          </w:tcPr>
          <w:p>
            <w:pPr>
              <w:pStyle w:val="TableContents"/>
              <w:bidi w:val="0"/>
              <w:spacing w:before="0" w:after="283"/>
              <w:jc w:val="left"/>
              <w:rPr/>
            </w:pPr>
            <w:r>
              <w:rPr/>
              <w:t>Name of Issuer</w:t>
            </w:r>
          </w:p>
        </w:tc>
        <w:tc>
          <w:tcPr>
            <w:tcW w:w="4499" w:type="dxa"/>
            <w:tcBorders/>
            <w:vAlign w:val="center"/>
          </w:tcPr>
          <w:p>
            <w:pPr>
              <w:pStyle w:val="TableContents"/>
              <w:bidi w:val="0"/>
              <w:spacing w:before="0" w:after="0"/>
              <w:jc w:val="left"/>
              <w:rPr/>
            </w:pPr>
            <w:r>
              <w:rPr/>
              <w:t>PALVELLA THERAPEUTICS, INC.</w:t>
            </w:r>
          </w:p>
        </w:tc>
      </w:tr>
      <w:tr>
        <w:trPr/>
        <w:tc>
          <w:tcPr>
            <w:tcW w:w="5706" w:type="dxa"/>
            <w:tcBorders/>
            <w:vAlign w:val="center"/>
          </w:tcPr>
          <w:p>
            <w:pPr>
              <w:pStyle w:val="TableContents"/>
              <w:bidi w:val="0"/>
              <w:spacing w:before="0" w:after="283"/>
              <w:jc w:val="left"/>
              <w:rPr/>
            </w:pPr>
            <w:r>
              <w:rPr/>
              <w:t>SEC File Number</w:t>
            </w:r>
          </w:p>
        </w:tc>
        <w:tc>
          <w:tcPr>
            <w:tcW w:w="4499" w:type="dxa"/>
            <w:tcBorders/>
            <w:vAlign w:val="center"/>
          </w:tcPr>
          <w:p>
            <w:pPr>
              <w:pStyle w:val="TableContents"/>
              <w:bidi w:val="0"/>
              <w:spacing w:before="0" w:after="0"/>
              <w:jc w:val="left"/>
              <w:rPr/>
            </w:pPr>
            <w:r>
              <w:rPr/>
              <w:t>001-37471</w:t>
            </w:r>
          </w:p>
        </w:tc>
      </w:tr>
      <w:tr>
        <w:trPr/>
        <w:tc>
          <w:tcPr>
            <w:tcW w:w="5706" w:type="dxa"/>
            <w:tcBorders/>
            <w:vAlign w:val="center"/>
          </w:tcPr>
          <w:p>
            <w:pPr>
              <w:pStyle w:val="TableContents"/>
              <w:bidi w:val="0"/>
              <w:spacing w:before="0" w:after="283"/>
              <w:jc w:val="left"/>
              <w:rPr/>
            </w:pPr>
            <w:r>
              <w:rPr/>
              <w:t>Address of Issuer</w:t>
            </w:r>
          </w:p>
        </w:tc>
        <w:tc>
          <w:tcPr>
            <w:tcW w:w="4499" w:type="dxa"/>
            <w:tcBorders/>
            <w:vAlign w:val="center"/>
          </w:tcPr>
          <w:p>
            <w:pPr>
              <w:pStyle w:val="TableContents"/>
              <w:bidi w:val="0"/>
              <w:spacing w:before="0" w:after="0"/>
              <w:jc w:val="left"/>
              <w:rPr/>
            </w:pPr>
            <w:r>
              <w:rPr/>
              <w:t>353 W. LANCASTER AVENUE</w:t>
              <w:br/>
              <w:t>SUITE 200</w:t>
              <w:br/>
              <w:t>WAYNE</w:t>
              <w:br/>
              <w:t xml:space="preserve">PENNSYLVANIA </w:t>
              <w:br/>
              <w:t>19087</w:t>
            </w:r>
          </w:p>
        </w:tc>
      </w:tr>
      <w:tr>
        <w:trPr/>
        <w:tc>
          <w:tcPr>
            <w:tcW w:w="5706" w:type="dxa"/>
            <w:tcBorders/>
            <w:vAlign w:val="center"/>
          </w:tcPr>
          <w:p>
            <w:pPr>
              <w:pStyle w:val="TableContents"/>
              <w:bidi w:val="0"/>
              <w:spacing w:before="0" w:after="283"/>
              <w:jc w:val="left"/>
              <w:rPr/>
            </w:pPr>
            <w:r>
              <w:rPr/>
              <w:t>Phone</w:t>
            </w:r>
          </w:p>
        </w:tc>
        <w:tc>
          <w:tcPr>
            <w:tcW w:w="4499" w:type="dxa"/>
            <w:tcBorders/>
            <w:vAlign w:val="center"/>
          </w:tcPr>
          <w:p>
            <w:pPr>
              <w:pStyle w:val="TableContents"/>
              <w:bidi w:val="0"/>
              <w:spacing w:before="0" w:after="0"/>
              <w:jc w:val="left"/>
              <w:rPr/>
            </w:pPr>
            <w:r>
              <w:rPr/>
              <w:t>(484) 253-1461</w:t>
            </w:r>
          </w:p>
        </w:tc>
      </w:tr>
      <w:tr>
        <w:trPr/>
        <w:tc>
          <w:tcPr>
            <w:tcW w:w="5706" w:type="dxa"/>
            <w:tcBorders/>
            <w:vAlign w:val="center"/>
          </w:tcPr>
          <w:p>
            <w:pPr>
              <w:pStyle w:val="TableContents"/>
              <w:bidi w:val="0"/>
              <w:spacing w:before="0" w:after="283"/>
              <w:jc w:val="left"/>
              <w:rPr/>
            </w:pPr>
            <w:r>
              <w:rPr/>
              <w:t>Name of Person for Whose Account the Securities are To Be Sold</w:t>
            </w:r>
          </w:p>
        </w:tc>
        <w:tc>
          <w:tcPr>
            <w:tcW w:w="4499" w:type="dxa"/>
            <w:tcBorders/>
            <w:vAlign w:val="center"/>
          </w:tcPr>
          <w:p>
            <w:pPr>
              <w:pStyle w:val="TableContents"/>
              <w:bidi w:val="0"/>
              <w:spacing w:before="0" w:after="0"/>
              <w:jc w:val="left"/>
              <w:rPr/>
            </w:pPr>
            <w:r>
              <w:rPr/>
              <w:t>JENKINS GEORGE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6" w:type="dxa"/>
            <w:tcBorders/>
            <w:vAlign w:val="center"/>
          </w:tcPr>
          <w:p>
            <w:pPr>
              <w:pStyle w:val="TableContents"/>
              <w:bidi w:val="0"/>
              <w:spacing w:before="0" w:after="283"/>
              <w:jc w:val="left"/>
              <w:rPr/>
            </w:pPr>
            <w:r>
              <w:rPr/>
              <w:t>Relationship to Issuer</w:t>
            </w:r>
          </w:p>
        </w:tc>
        <w:tc>
          <w:tcPr>
            <w:tcW w:w="44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664"/>
        <w:gridCol w:w="1140"/>
        <w:gridCol w:w="1432"/>
        <w:gridCol w:w="1527"/>
        <w:gridCol w:w="1552"/>
        <w:gridCol w:w="1378"/>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664"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432"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78"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 xml:space="preserve">Common Stock </w:t>
            </w:r>
          </w:p>
        </w:tc>
        <w:tc>
          <w:tcPr>
            <w:tcW w:w="1664" w:type="dxa"/>
            <w:tcBorders/>
            <w:vAlign w:val="center"/>
          </w:tcPr>
          <w:p>
            <w:pPr>
              <w:pStyle w:val="TableContents"/>
              <w:bidi w:val="0"/>
              <w:spacing w:before="0" w:after="0"/>
              <w:jc w:val="left"/>
              <w:rPr/>
            </w:pPr>
            <w:r>
              <w:rPr/>
              <w:t>Piper Sandler &amp; Co</w:t>
              <w:br/>
              <w:t>350 North 5th Street, Suite 1000</w:t>
              <w:br/>
              <w:t>Minneapolis   MN   55401</w:t>
            </w:r>
          </w:p>
        </w:tc>
        <w:tc>
          <w:tcPr>
            <w:tcW w:w="1140" w:type="dxa"/>
            <w:tcBorders/>
            <w:vAlign w:val="center"/>
          </w:tcPr>
          <w:p>
            <w:pPr>
              <w:pStyle w:val="TableContents"/>
              <w:bidi w:val="0"/>
              <w:spacing w:before="0" w:after="283"/>
              <w:jc w:val="left"/>
              <w:rPr/>
            </w:pPr>
            <w:r>
              <w:rPr/>
              <w:t>27500</w:t>
            </w:r>
          </w:p>
        </w:tc>
        <w:tc>
          <w:tcPr>
            <w:tcW w:w="1432" w:type="dxa"/>
            <w:tcBorders/>
            <w:vAlign w:val="center"/>
          </w:tcPr>
          <w:p>
            <w:pPr>
              <w:pStyle w:val="TableContents"/>
              <w:bidi w:val="0"/>
              <w:spacing w:before="0" w:after="283"/>
              <w:jc w:val="left"/>
              <w:rPr/>
            </w:pPr>
            <w:r>
              <w:rPr/>
              <w:t>3695450.00</w:t>
            </w:r>
          </w:p>
        </w:tc>
        <w:tc>
          <w:tcPr>
            <w:tcW w:w="1527" w:type="dxa"/>
            <w:tcBorders/>
            <w:vAlign w:val="center"/>
          </w:tcPr>
          <w:p>
            <w:pPr>
              <w:pStyle w:val="TableContents"/>
              <w:bidi w:val="0"/>
              <w:spacing w:before="0" w:after="283"/>
              <w:jc w:val="left"/>
              <w:rPr/>
            </w:pPr>
            <w:r>
              <w:rPr/>
              <w:t>14408407</w:t>
            </w:r>
          </w:p>
        </w:tc>
        <w:tc>
          <w:tcPr>
            <w:tcW w:w="1552" w:type="dxa"/>
            <w:tcBorders/>
            <w:vAlign w:val="center"/>
          </w:tcPr>
          <w:p>
            <w:pPr>
              <w:pStyle w:val="TableContents"/>
              <w:bidi w:val="0"/>
              <w:spacing w:before="0" w:after="283"/>
              <w:jc w:val="left"/>
              <w:rPr/>
            </w:pPr>
            <w:r>
              <w:rPr/>
              <w:t>10/13/2026</w:t>
            </w:r>
          </w:p>
        </w:tc>
        <w:tc>
          <w:tcPr>
            <w:tcW w:w="137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 xml:space="preserve">Common Stock </w:t>
            </w:r>
          </w:p>
        </w:tc>
        <w:tc>
          <w:tcPr>
            <w:tcW w:w="1135" w:type="dxa"/>
            <w:tcBorders/>
            <w:vAlign w:val="center"/>
          </w:tcPr>
          <w:p>
            <w:pPr>
              <w:pStyle w:val="TableContents"/>
              <w:bidi w:val="0"/>
              <w:spacing w:before="0" w:after="283"/>
              <w:jc w:val="left"/>
              <w:rPr/>
            </w:pPr>
            <w:r>
              <w:rPr/>
              <w:t>03/06/2017</w:t>
            </w:r>
          </w:p>
        </w:tc>
        <w:tc>
          <w:tcPr>
            <w:tcW w:w="1505" w:type="dxa"/>
            <w:tcBorders/>
            <w:vAlign w:val="center"/>
          </w:tcPr>
          <w:p>
            <w:pPr>
              <w:pStyle w:val="TableContents"/>
              <w:bidi w:val="0"/>
              <w:spacing w:before="0" w:after="283"/>
              <w:jc w:val="left"/>
              <w:rPr/>
            </w:pPr>
            <w:r>
              <w:rPr/>
              <w:t xml:space="preserve">Private Investment </w:t>
            </w:r>
          </w:p>
        </w:tc>
        <w:tc>
          <w:tcPr>
            <w:tcW w:w="1218" w:type="dxa"/>
            <w:tcBorders/>
            <w:vAlign w:val="center"/>
          </w:tcPr>
          <w:p>
            <w:pPr>
              <w:pStyle w:val="TableContents"/>
              <w:bidi w:val="0"/>
              <w:spacing w:before="0" w:after="283"/>
              <w:jc w:val="left"/>
              <w:rPr/>
            </w:pPr>
            <w:r>
              <w:rPr/>
              <w:t>George Jenkins</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27500</w:t>
            </w:r>
          </w:p>
        </w:tc>
        <w:tc>
          <w:tcPr>
            <w:tcW w:w="1078" w:type="dxa"/>
            <w:tcBorders/>
            <w:vAlign w:val="center"/>
          </w:tcPr>
          <w:p>
            <w:pPr>
              <w:pStyle w:val="TableContents"/>
              <w:bidi w:val="0"/>
              <w:spacing w:before="0" w:after="283"/>
              <w:jc w:val="left"/>
              <w:rPr/>
            </w:pPr>
            <w:r>
              <w:rPr/>
              <w:t>03/06/2017</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0"/>
        <w:gridCol w:w="2942"/>
        <w:gridCol w:w="945"/>
        <w:gridCol w:w="1562"/>
        <w:gridCol w:w="1846"/>
      </w:tblGrid>
      <w:tr>
        <w:trPr/>
        <w:tc>
          <w:tcPr>
            <w:tcW w:w="2910"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846" w:type="dxa"/>
            <w:tcBorders/>
            <w:vAlign w:val="center"/>
          </w:tcPr>
          <w:p>
            <w:pPr>
              <w:pStyle w:val="TableHeading"/>
              <w:suppressLineNumbers/>
              <w:bidi w:val="0"/>
              <w:spacing w:before="0" w:after="283"/>
              <w:jc w:val="center"/>
              <w:rPr/>
            </w:pPr>
            <w:r>
              <w:rPr/>
              <w:t>Gross Proceeds</w:t>
            </w:r>
          </w:p>
        </w:tc>
      </w:tr>
      <w:tr>
        <w:trPr/>
        <w:tc>
          <w:tcPr>
            <w:tcW w:w="2910" w:type="dxa"/>
            <w:tcBorders/>
            <w:vAlign w:val="center"/>
          </w:tcPr>
          <w:p>
            <w:pPr>
              <w:pStyle w:val="TableContents"/>
              <w:bidi w:val="0"/>
              <w:spacing w:before="0" w:after="283"/>
              <w:jc w:val="left"/>
              <w:rPr/>
            </w:pPr>
            <w:r>
              <w:rPr/>
              <w:t xml:space="preserve">George Jenkins </w:t>
              <w:br/>
              <w:t>353 W Lancaster Ave</w:t>
              <w:br/>
              <w:t>Ste 200</w:t>
              <w:br/>
              <w:t>Wayne   PA   19087</w:t>
            </w:r>
          </w:p>
        </w:tc>
        <w:tc>
          <w:tcPr>
            <w:tcW w:w="2942" w:type="dxa"/>
            <w:tcBorders/>
            <w:vAlign w:val="center"/>
          </w:tcPr>
          <w:p>
            <w:pPr>
              <w:pStyle w:val="TableContents"/>
              <w:bidi w:val="0"/>
              <w:spacing w:before="0" w:after="283"/>
              <w:jc w:val="left"/>
              <w:rPr/>
            </w:pPr>
            <w:r>
              <w:rPr/>
              <w:t xml:space="preserve">Common Stock </w:t>
            </w:r>
          </w:p>
        </w:tc>
        <w:tc>
          <w:tcPr>
            <w:tcW w:w="945" w:type="dxa"/>
            <w:tcBorders/>
            <w:vAlign w:val="center"/>
          </w:tcPr>
          <w:p>
            <w:pPr>
              <w:pStyle w:val="TableContents"/>
              <w:bidi w:val="0"/>
              <w:spacing w:before="0" w:after="283"/>
              <w:jc w:val="left"/>
              <w:rPr/>
            </w:pPr>
            <w:r>
              <w:rPr/>
              <w:t>09/11/2026</w:t>
            </w:r>
          </w:p>
        </w:tc>
        <w:tc>
          <w:tcPr>
            <w:tcW w:w="1562" w:type="dxa"/>
            <w:tcBorders/>
            <w:vAlign w:val="center"/>
          </w:tcPr>
          <w:p>
            <w:pPr>
              <w:pStyle w:val="TableContents"/>
              <w:bidi w:val="0"/>
              <w:spacing w:before="0" w:after="283"/>
              <w:jc w:val="left"/>
              <w:rPr/>
            </w:pPr>
            <w:r>
              <w:rPr/>
              <w:t>12371</w:t>
            </w:r>
          </w:p>
        </w:tc>
        <w:tc>
          <w:tcPr>
            <w:tcW w:w="1846" w:type="dxa"/>
            <w:tcBorders/>
            <w:vAlign w:val="center"/>
          </w:tcPr>
          <w:p>
            <w:pPr>
              <w:pStyle w:val="TableContents"/>
              <w:bidi w:val="0"/>
              <w:spacing w:before="0" w:after="283"/>
              <w:jc w:val="left"/>
              <w:rPr/>
            </w:pPr>
            <w:r>
              <w:rPr/>
              <w:t>1871435.40</w:t>
            </w:r>
          </w:p>
        </w:tc>
      </w:tr>
      <w:tr>
        <w:trPr/>
        <w:tc>
          <w:tcPr>
            <w:tcW w:w="2910" w:type="dxa"/>
            <w:tcBorders/>
            <w:vAlign w:val="center"/>
          </w:tcPr>
          <w:p>
            <w:pPr>
              <w:pStyle w:val="TableContents"/>
              <w:bidi w:val="0"/>
              <w:spacing w:before="0" w:after="283"/>
              <w:jc w:val="left"/>
              <w:rPr/>
            </w:pPr>
            <w:r>
              <w:rPr/>
              <w:t>George Jenkins</w:t>
              <w:br/>
              <w:t>353 W Lancaster Ave</w:t>
              <w:br/>
              <w:t>Ste 200</w:t>
              <w:br/>
              <w:t>Wayne   PA   19087</w:t>
            </w:r>
          </w:p>
        </w:tc>
        <w:tc>
          <w:tcPr>
            <w:tcW w:w="2942" w:type="dxa"/>
            <w:tcBorders/>
            <w:vAlign w:val="center"/>
          </w:tcPr>
          <w:p>
            <w:pPr>
              <w:pStyle w:val="TableContents"/>
              <w:bidi w:val="0"/>
              <w:spacing w:before="0" w:after="283"/>
              <w:jc w:val="left"/>
              <w:rPr/>
            </w:pPr>
            <w:r>
              <w:rPr/>
              <w:t xml:space="preserve">Common Stock </w:t>
            </w:r>
          </w:p>
        </w:tc>
        <w:tc>
          <w:tcPr>
            <w:tcW w:w="945" w:type="dxa"/>
            <w:tcBorders/>
            <w:vAlign w:val="center"/>
          </w:tcPr>
          <w:p>
            <w:pPr>
              <w:pStyle w:val="TableContents"/>
              <w:bidi w:val="0"/>
              <w:spacing w:before="0" w:after="283"/>
              <w:jc w:val="left"/>
              <w:rPr/>
            </w:pPr>
            <w:r>
              <w:rPr/>
              <w:t>09/14/2026</w:t>
            </w:r>
          </w:p>
        </w:tc>
        <w:tc>
          <w:tcPr>
            <w:tcW w:w="1562" w:type="dxa"/>
            <w:tcBorders/>
            <w:vAlign w:val="center"/>
          </w:tcPr>
          <w:p>
            <w:pPr>
              <w:pStyle w:val="TableContents"/>
              <w:bidi w:val="0"/>
              <w:spacing w:before="0" w:after="283"/>
              <w:jc w:val="left"/>
              <w:rPr/>
            </w:pPr>
            <w:r>
              <w:rPr/>
              <w:t>13352</w:t>
            </w:r>
          </w:p>
        </w:tc>
        <w:tc>
          <w:tcPr>
            <w:tcW w:w="1846" w:type="dxa"/>
            <w:tcBorders/>
            <w:vAlign w:val="center"/>
          </w:tcPr>
          <w:p>
            <w:pPr>
              <w:pStyle w:val="TableContents"/>
              <w:bidi w:val="0"/>
              <w:spacing w:before="0" w:after="283"/>
              <w:jc w:val="left"/>
              <w:rPr/>
            </w:pPr>
            <w:r>
              <w:rPr/>
              <w:t>2028904.50</w:t>
            </w:r>
          </w:p>
        </w:tc>
      </w:tr>
      <w:tr>
        <w:trPr/>
        <w:tc>
          <w:tcPr>
            <w:tcW w:w="2910" w:type="dxa"/>
            <w:tcBorders/>
            <w:vAlign w:val="center"/>
          </w:tcPr>
          <w:p>
            <w:pPr>
              <w:pStyle w:val="TableContents"/>
              <w:bidi w:val="0"/>
              <w:spacing w:before="0" w:after="283"/>
              <w:jc w:val="left"/>
              <w:rPr/>
            </w:pPr>
            <w:r>
              <w:rPr/>
              <w:t>George Jenkins</w:t>
              <w:br/>
              <w:t>353 W Lancaster Ave</w:t>
              <w:br/>
              <w:t>Ste 200</w:t>
              <w:br/>
              <w:t>Wayne   PA   19087</w:t>
            </w:r>
          </w:p>
        </w:tc>
        <w:tc>
          <w:tcPr>
            <w:tcW w:w="2942" w:type="dxa"/>
            <w:tcBorders/>
            <w:vAlign w:val="center"/>
          </w:tcPr>
          <w:p>
            <w:pPr>
              <w:pStyle w:val="TableContents"/>
              <w:bidi w:val="0"/>
              <w:spacing w:before="0" w:after="283"/>
              <w:jc w:val="left"/>
              <w:rPr/>
            </w:pPr>
            <w:r>
              <w:rPr/>
              <w:t xml:space="preserve">Common Stock </w:t>
            </w:r>
          </w:p>
        </w:tc>
        <w:tc>
          <w:tcPr>
            <w:tcW w:w="945" w:type="dxa"/>
            <w:tcBorders/>
            <w:vAlign w:val="center"/>
          </w:tcPr>
          <w:p>
            <w:pPr>
              <w:pStyle w:val="TableContents"/>
              <w:bidi w:val="0"/>
              <w:spacing w:before="0" w:after="283"/>
              <w:jc w:val="left"/>
              <w:rPr/>
            </w:pPr>
            <w:r>
              <w:rPr/>
              <w:t>09/15/2026</w:t>
            </w:r>
          </w:p>
        </w:tc>
        <w:tc>
          <w:tcPr>
            <w:tcW w:w="1562" w:type="dxa"/>
            <w:tcBorders/>
            <w:vAlign w:val="center"/>
          </w:tcPr>
          <w:p>
            <w:pPr>
              <w:pStyle w:val="TableContents"/>
              <w:bidi w:val="0"/>
              <w:spacing w:before="0" w:after="283"/>
              <w:jc w:val="left"/>
              <w:rPr/>
            </w:pPr>
            <w:r>
              <w:rPr/>
              <w:t>1777</w:t>
            </w:r>
          </w:p>
        </w:tc>
        <w:tc>
          <w:tcPr>
            <w:tcW w:w="1846" w:type="dxa"/>
            <w:tcBorders/>
            <w:vAlign w:val="center"/>
          </w:tcPr>
          <w:p>
            <w:pPr>
              <w:pStyle w:val="TableContents"/>
              <w:bidi w:val="0"/>
              <w:spacing w:before="0" w:after="283"/>
              <w:jc w:val="left"/>
              <w:rPr/>
            </w:pPr>
            <w:r>
              <w:rPr/>
              <w:t>266805.53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30"/>
        <w:gridCol w:w="6475"/>
      </w:tblGrid>
      <w:tr>
        <w:trPr/>
        <w:tc>
          <w:tcPr>
            <w:tcW w:w="3730" w:type="dxa"/>
            <w:tcBorders/>
            <w:vAlign w:val="center"/>
          </w:tcPr>
          <w:p>
            <w:pPr>
              <w:pStyle w:val="TableContents"/>
              <w:bidi w:val="0"/>
              <w:spacing w:before="0" w:after="283"/>
              <w:jc w:val="left"/>
              <w:rPr/>
            </w:pPr>
            <w:r>
              <w:rPr/>
              <w:t>Remarks</w:t>
            </w:r>
          </w:p>
        </w:tc>
        <w:tc>
          <w:tcPr>
            <w:tcW w:w="6475" w:type="dxa"/>
            <w:tcBorders/>
            <w:vAlign w:val="center"/>
          </w:tcPr>
          <w:p>
            <w:pPr>
              <w:pStyle w:val="TableContents"/>
              <w:bidi w:val="0"/>
              <w:spacing w:before="0" w:after="283"/>
              <w:jc w:val="left"/>
              <w:rPr>
                <w:sz w:val="4"/>
                <w:szCs w:val="4"/>
              </w:rPr>
            </w:pPr>
            <w:r>
              <w:rPr>
                <w:sz w:val="4"/>
                <w:szCs w:val="4"/>
              </w:rPr>
            </w:r>
          </w:p>
        </w:tc>
      </w:tr>
      <w:tr>
        <w:trPr/>
        <w:tc>
          <w:tcPr>
            <w:tcW w:w="3730" w:type="dxa"/>
            <w:tcBorders/>
            <w:vAlign w:val="center"/>
          </w:tcPr>
          <w:p>
            <w:pPr>
              <w:pStyle w:val="TableContents"/>
              <w:bidi w:val="0"/>
              <w:spacing w:before="0" w:after="283"/>
              <w:jc w:val="left"/>
              <w:rPr/>
            </w:pPr>
            <w:r>
              <w:rPr/>
              <w:t>Date of Notice</w:t>
            </w:r>
          </w:p>
        </w:tc>
        <w:tc>
          <w:tcPr>
            <w:tcW w:w="6475" w:type="dxa"/>
            <w:tcBorders/>
            <w:vAlign w:val="center"/>
          </w:tcPr>
          <w:p>
            <w:pPr>
              <w:pStyle w:val="TableContents"/>
              <w:bidi w:val="0"/>
              <w:spacing w:before="0" w:after="0"/>
              <w:jc w:val="left"/>
              <w:rPr/>
            </w:pPr>
            <w:r>
              <w:rPr/>
              <w:t>10/13/2026</w:t>
            </w:r>
          </w:p>
        </w:tc>
      </w:tr>
      <w:tr>
        <w:trPr/>
        <w:tc>
          <w:tcPr>
            <w:tcW w:w="3730" w:type="dxa"/>
            <w:tcBorders/>
            <w:vAlign w:val="center"/>
          </w:tcPr>
          <w:p>
            <w:pPr>
              <w:pStyle w:val="TableContents"/>
              <w:bidi w:val="0"/>
              <w:spacing w:before="0" w:after="283"/>
              <w:jc w:val="left"/>
              <w:rPr/>
            </w:pPr>
            <w:r>
              <w:rPr/>
              <w:t>Date of Plan Adoption or Giving of Instruction, If Relying on Rule 10b5-1</w:t>
            </w:r>
          </w:p>
        </w:tc>
        <w:tc>
          <w:tcPr>
            <w:tcW w:w="6475" w:type="dxa"/>
            <w:tcBorders/>
            <w:vAlign w:val="center"/>
          </w:tcPr>
          <w:p>
            <w:pPr>
              <w:pStyle w:val="TableContents"/>
              <w:bidi w:val="0"/>
              <w:spacing w:before="0" w:after="0"/>
              <w:jc w:val="left"/>
              <w:rPr/>
            </w:pPr>
            <w:r>
              <w:rPr/>
              <w:t>06/12/2026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30" w:type="dxa"/>
            <w:tcBorders/>
            <w:vAlign w:val="center"/>
          </w:tcPr>
          <w:p>
            <w:pPr>
              <w:pStyle w:val="TableContents"/>
              <w:bidi w:val="0"/>
              <w:spacing w:before="0" w:after="283"/>
              <w:jc w:val="left"/>
              <w:rPr/>
            </w:pPr>
            <w:r>
              <w:rPr/>
              <w:t>Signature</w:t>
            </w:r>
          </w:p>
        </w:tc>
        <w:tc>
          <w:tcPr>
            <w:tcW w:w="6475" w:type="dxa"/>
            <w:tcBorders/>
            <w:vAlign w:val="center"/>
          </w:tcPr>
          <w:p>
            <w:pPr>
              <w:pStyle w:val="TableContents"/>
              <w:bidi w:val="0"/>
              <w:spacing w:before="0" w:after="0"/>
              <w:jc w:val="left"/>
              <w:rPr/>
            </w:pPr>
            <w:r>
              <w:rPr/>
              <w:t>Will Britton, a duly authorized representative of Piper Sandler &amp; Co Corporate &amp; Venture Services FA, as attorney-in-fact for George Jenkins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3407</Characters>
  <CharactersWithSpaces>4024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