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0001912570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Goin Kathleen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Piper Sandler &amp; Co Inc</w:t>
              <w:br/>
              <w:t>350 N 5th St</w:t>
              <w:br/>
              <w:t>Ste 1000</w:t>
              <w:br/>
              <w:t>Minneapolis   MN   55401</w:t>
            </w:r>
          </w:p>
        </w:tc>
        <w:tc>
          <w:tcPr>
            <w:tcW w:w="1153" w:type="dxa"/>
            <w:tcBorders/>
            <w:vAlign w:val="center"/>
          </w:tcPr>
          <w:p>
            <w:pPr>
              <w:pStyle w:val="TableContents"/>
              <w:bidi w:val="0"/>
              <w:spacing w:before="0" w:after="283"/>
              <w:jc w:val="left"/>
              <w:rPr/>
            </w:pPr>
            <w:r>
              <w:rPr/>
              <w:t>4302</w:t>
            </w:r>
          </w:p>
        </w:tc>
        <w:tc>
          <w:tcPr>
            <w:tcW w:w="1360" w:type="dxa"/>
            <w:tcBorders/>
            <w:vAlign w:val="center"/>
          </w:tcPr>
          <w:p>
            <w:pPr>
              <w:pStyle w:val="TableContents"/>
              <w:bidi w:val="0"/>
              <w:spacing w:before="0" w:after="283"/>
              <w:jc w:val="left"/>
              <w:rPr/>
            </w:pPr>
            <w:r>
              <w:rPr/>
              <w:t>643923.36</w:t>
            </w:r>
          </w:p>
        </w:tc>
        <w:tc>
          <w:tcPr>
            <w:tcW w:w="1538" w:type="dxa"/>
            <w:tcBorders/>
            <w:vAlign w:val="center"/>
          </w:tcPr>
          <w:p>
            <w:pPr>
              <w:pStyle w:val="TableContents"/>
              <w:bidi w:val="0"/>
              <w:spacing w:before="0" w:after="283"/>
              <w:jc w:val="left"/>
              <w:rPr/>
            </w:pPr>
            <w:r>
              <w:rPr/>
              <w:t>14342844</w:t>
            </w:r>
          </w:p>
        </w:tc>
        <w:tc>
          <w:tcPr>
            <w:tcW w:w="1558" w:type="dxa"/>
            <w:tcBorders/>
            <w:vAlign w:val="center"/>
          </w:tcPr>
          <w:p>
            <w:pPr>
              <w:pStyle w:val="TableContents"/>
              <w:bidi w:val="0"/>
              <w:spacing w:before="0" w:after="283"/>
              <w:jc w:val="left"/>
              <w:rPr/>
            </w:pPr>
            <w:r>
              <w:rPr/>
              <w:t>07/15/2026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4302</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8"/>
        <w:gridCol w:w="2893"/>
        <w:gridCol w:w="936"/>
        <w:gridCol w:w="1551"/>
        <w:gridCol w:w="1747"/>
      </w:tblGrid>
      <w:tr>
        <w:trPr/>
        <w:tc>
          <w:tcPr>
            <w:tcW w:w="3078"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8" w:type="dxa"/>
            <w:tcBorders/>
            <w:vAlign w:val="center"/>
          </w:tcPr>
          <w:p>
            <w:pPr>
              <w:pStyle w:val="TableContents"/>
              <w:bidi w:val="0"/>
              <w:spacing w:before="0" w:after="283"/>
              <w:jc w:val="left"/>
              <w:rPr/>
            </w:pPr>
            <w:r>
              <w:rPr/>
              <w:t>Kathleen Goin C/O Palvella Therapeutics Inc</w:t>
              <w:br/>
              <w:t>353 W Lancaster Ave</w:t>
              <w:br/>
              <w:t>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04/15/2026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547398.96</w:t>
            </w:r>
          </w:p>
        </w:tc>
      </w:tr>
      <w:tr>
        <w:trPr/>
        <w:tc>
          <w:tcPr>
            <w:tcW w:w="3078" w:type="dxa"/>
            <w:tcBorders/>
            <w:vAlign w:val="center"/>
          </w:tcPr>
          <w:p>
            <w:pPr>
              <w:pStyle w:val="TableContents"/>
              <w:bidi w:val="0"/>
              <w:spacing w:before="0" w:after="283"/>
              <w:jc w:val="left"/>
              <w:rPr/>
            </w:pPr>
            <w:r>
              <w:rPr/>
              <w:t>Kathleen Goin C/O Palvella Therapeutics Inc</w:t>
              <w:br/>
              <w:t>353 W Lancaster Ave, 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05/20/2026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475630.84</w:t>
            </w:r>
          </w:p>
        </w:tc>
      </w:tr>
      <w:tr>
        <w:trPr/>
        <w:tc>
          <w:tcPr>
            <w:tcW w:w="3078" w:type="dxa"/>
            <w:tcBorders/>
            <w:vAlign w:val="center"/>
          </w:tcPr>
          <w:p>
            <w:pPr>
              <w:pStyle w:val="TableContents"/>
              <w:bidi w:val="0"/>
              <w:spacing w:before="0" w:after="283"/>
              <w:jc w:val="left"/>
              <w:rPr/>
            </w:pPr>
            <w:r>
              <w:rPr/>
              <w:t>Kathleen Goin C/O Palvella Therapeutics Inc</w:t>
              <w:br/>
              <w:t>353 W Lancaster Ave</w:t>
              <w:br/>
              <w:t>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476372.94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16"/>
        <w:gridCol w:w="6489"/>
      </w:tblGrid>
      <w:tr>
        <w:trPr/>
        <w:tc>
          <w:tcPr>
            <w:tcW w:w="3716" w:type="dxa"/>
            <w:tcBorders/>
            <w:vAlign w:val="center"/>
          </w:tcPr>
          <w:p>
            <w:pPr>
              <w:pStyle w:val="TableContents"/>
              <w:bidi w:val="0"/>
              <w:spacing w:before="0" w:after="283"/>
              <w:jc w:val="left"/>
              <w:rPr/>
            </w:pPr>
            <w:r>
              <w:rPr/>
              <w:t>Remarks</w:t>
            </w:r>
          </w:p>
        </w:tc>
        <w:tc>
          <w:tcPr>
            <w:tcW w:w="6489" w:type="dxa"/>
            <w:tcBorders/>
            <w:vAlign w:val="center"/>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Date of Notice</w:t>
            </w:r>
          </w:p>
        </w:tc>
        <w:tc>
          <w:tcPr>
            <w:tcW w:w="6489" w:type="dxa"/>
            <w:tcBorders/>
            <w:vAlign w:val="center"/>
          </w:tcPr>
          <w:p>
            <w:pPr>
              <w:pStyle w:val="TableContents"/>
              <w:bidi w:val="0"/>
              <w:spacing w:before="0" w:after="0"/>
              <w:jc w:val="left"/>
              <w:rPr/>
            </w:pPr>
            <w:r>
              <w:rPr/>
              <w:t>07/15/2026</w:t>
            </w:r>
          </w:p>
        </w:tc>
      </w:tr>
      <w:tr>
        <w:trPr/>
        <w:tc>
          <w:tcPr>
            <w:tcW w:w="3716" w:type="dxa"/>
            <w:tcBorders/>
            <w:vAlign w:val="center"/>
          </w:tcPr>
          <w:p>
            <w:pPr>
              <w:pStyle w:val="TableContents"/>
              <w:bidi w:val="0"/>
              <w:spacing w:before="0" w:after="283"/>
              <w:jc w:val="left"/>
              <w:rPr/>
            </w:pPr>
            <w:r>
              <w:rPr/>
              <w:t>Date of Plan Adoption or Giving of Instruction, If Relying on Rule 10b5-1</w:t>
            </w:r>
          </w:p>
        </w:tc>
        <w:tc>
          <w:tcPr>
            <w:tcW w:w="6489"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16" w:type="dxa"/>
            <w:tcBorders/>
            <w:vAlign w:val="center"/>
          </w:tcPr>
          <w:p>
            <w:pPr>
              <w:pStyle w:val="TableContents"/>
              <w:bidi w:val="0"/>
              <w:spacing w:before="0" w:after="283"/>
              <w:jc w:val="left"/>
              <w:rPr/>
            </w:pPr>
            <w:r>
              <w:rPr/>
              <w:t>Signature</w:t>
            </w:r>
          </w:p>
        </w:tc>
        <w:tc>
          <w:tcPr>
            <w:tcW w:w="6489" w:type="dxa"/>
            <w:tcBorders/>
            <w:vAlign w:val="center"/>
          </w:tcPr>
          <w:p>
            <w:pPr>
              <w:pStyle w:val="TableContents"/>
              <w:bidi w:val="0"/>
              <w:spacing w:before="0" w:after="0"/>
              <w:jc w:val="left"/>
              <w:rPr/>
            </w:pPr>
            <w:r>
              <w:rPr/>
              <w:t>Alex Johnson, a duly authorized representative of Piper Sandler &amp; Co Corporate &amp; Venture Services FA, as attorney-in-fact for Kathleen Goin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3459</Characters>
  <CharactersWithSpaces>4081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